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75018C" w14:textId="35773A38" w:rsidR="001906A8" w:rsidRPr="000210C8" w:rsidRDefault="009D559F" w:rsidP="001906A8">
      <w:pPr>
        <w:spacing w:after="120" w:line="276" w:lineRule="auto"/>
        <w:jc w:val="both"/>
        <w:rPr>
          <w:rFonts w:ascii="Arial" w:hAnsi="Arial" w:cs="Arial"/>
        </w:rPr>
      </w:pPr>
      <w:r>
        <w:rPr>
          <w:rFonts w:ascii="Arial" w:hAnsi="Arial" w:cs="Arial"/>
        </w:rPr>
        <w:t xml:space="preserve">Preview </w:t>
      </w:r>
      <w:r w:rsidR="00D478B5" w:rsidRPr="000210C8">
        <w:rPr>
          <w:rFonts w:ascii="Arial" w:hAnsi="Arial" w:cs="Arial"/>
        </w:rPr>
        <w:t>AMB 2026</w:t>
      </w:r>
    </w:p>
    <w:p w14:paraId="4BD81BFB" w14:textId="77777777" w:rsidR="0086201F" w:rsidRPr="0086201F" w:rsidRDefault="0086201F" w:rsidP="002E3470">
      <w:pPr>
        <w:spacing w:before="240" w:after="120" w:line="276" w:lineRule="auto"/>
        <w:jc w:val="both"/>
        <w:rPr>
          <w:rFonts w:ascii="Arial" w:hAnsi="Arial" w:cs="Arial"/>
          <w:b/>
          <w:bCs/>
          <w:color w:val="000000" w:themeColor="text1"/>
          <w:spacing w:val="2"/>
          <w:sz w:val="35"/>
          <w:szCs w:val="35"/>
          <w14:ligatures w14:val="none"/>
        </w:rPr>
      </w:pPr>
      <w:bookmarkStart w:id="0" w:name="_Hlk231810598"/>
      <w:r w:rsidRPr="0086201F">
        <w:rPr>
          <w:rFonts w:ascii="Arial" w:hAnsi="Arial" w:cs="Arial"/>
          <w:b/>
          <w:bCs/>
          <w:color w:val="000000" w:themeColor="text1"/>
          <w:spacing w:val="2"/>
          <w:sz w:val="35"/>
          <w:szCs w:val="35"/>
          <w14:ligatures w14:val="none"/>
        </w:rPr>
        <w:t>Partnership Throughout the Entire Life Cycle</w:t>
      </w:r>
    </w:p>
    <w:p w14:paraId="0D49DF41" w14:textId="31579E74" w:rsidR="002E3470" w:rsidRPr="0086201F" w:rsidRDefault="001906A8" w:rsidP="002E3470">
      <w:pPr>
        <w:spacing w:before="240" w:after="120" w:line="276" w:lineRule="auto"/>
        <w:jc w:val="both"/>
        <w:rPr>
          <w:rFonts w:ascii="Arial" w:eastAsia="Calibri" w:hAnsi="Arial" w:cs="Arial"/>
          <w:bCs/>
          <w:color w:val="000000" w:themeColor="text1"/>
          <w:highlight w:val="yellow"/>
        </w:rPr>
      </w:pPr>
      <w:r w:rsidRPr="0086201F">
        <w:rPr>
          <w:rFonts w:ascii="Arial" w:eastAsia="Calibri" w:hAnsi="Arial" w:cs="Arial"/>
          <w:b/>
          <w:color w:val="000000" w:themeColor="text1"/>
        </w:rPr>
        <w:t>M</w:t>
      </w:r>
      <w:r w:rsidR="0086201F" w:rsidRPr="0086201F">
        <w:rPr>
          <w:rFonts w:ascii="Arial" w:eastAsia="Calibri" w:hAnsi="Arial" w:cs="Arial"/>
          <w:b/>
          <w:color w:val="000000" w:themeColor="text1"/>
        </w:rPr>
        <w:t>unich</w:t>
      </w:r>
      <w:r w:rsidRPr="0086201F">
        <w:rPr>
          <w:rFonts w:ascii="Arial" w:eastAsia="Calibri" w:hAnsi="Arial" w:cs="Arial"/>
          <w:b/>
          <w:color w:val="000000" w:themeColor="text1"/>
        </w:rPr>
        <w:t xml:space="preserve">. </w:t>
      </w:r>
      <w:r w:rsidR="0086201F" w:rsidRPr="0086201F">
        <w:rPr>
          <w:rFonts w:ascii="Arial" w:eastAsia="Calibri" w:hAnsi="Arial" w:cs="Arial"/>
          <w:bCs/>
          <w:color w:val="000000" w:themeColor="text1"/>
        </w:rPr>
        <w:t xml:space="preserve">In a dynamic market environment marked by growing competitive pressure and global changes, flexible decision-making and predictable investments are becoming increasingly important. Under the motto “Never Stop Manufacturing the Future,” DMG MORI will demonstrate at the AMB in Stuttgart from September 15 to 19, 2026, how the company supports its customers with productive manufacturing solutions and long-term partnerships. The machine tool manufacturer offers guidance and certainty throughout the entire life cycle of </w:t>
      </w:r>
      <w:proofErr w:type="gramStart"/>
      <w:r w:rsidR="0086201F" w:rsidRPr="0086201F">
        <w:rPr>
          <w:rFonts w:ascii="Arial" w:eastAsia="Calibri" w:hAnsi="Arial" w:cs="Arial"/>
          <w:bCs/>
          <w:color w:val="000000" w:themeColor="text1"/>
        </w:rPr>
        <w:t>an investment</w:t>
      </w:r>
      <w:proofErr w:type="gramEnd"/>
      <w:r w:rsidR="0086201F" w:rsidRPr="0086201F">
        <w:rPr>
          <w:rFonts w:ascii="Arial" w:eastAsia="Calibri" w:hAnsi="Arial" w:cs="Arial"/>
          <w:bCs/>
          <w:color w:val="000000" w:themeColor="text1"/>
        </w:rPr>
        <w:t xml:space="preserve"> in a dynamic market environment. At its booth, spanning over 2,100 m² in Hall 10, visitors can experience 20 largely automated machines in action. With products for </w:t>
      </w:r>
      <w:r w:rsidR="00AA24C5">
        <w:rPr>
          <w:rFonts w:ascii="Arial" w:eastAsia="Calibri" w:hAnsi="Arial" w:cs="Arial"/>
          <w:bCs/>
          <w:color w:val="000000" w:themeColor="text1"/>
        </w:rPr>
        <w:br/>
      </w:r>
      <w:r w:rsidR="0086201F" w:rsidRPr="0086201F">
        <w:rPr>
          <w:rFonts w:ascii="Arial" w:eastAsia="Calibri" w:hAnsi="Arial" w:cs="Arial"/>
          <w:bCs/>
          <w:color w:val="000000" w:themeColor="text1"/>
        </w:rPr>
        <w:t xml:space="preserve">5-axis simultaneous machining, 6-side turn-mill processing, and additive manufacturing, the innovation leader is shaping technological development in machine tool </w:t>
      </w:r>
      <w:proofErr w:type="gramStart"/>
      <w:r w:rsidR="0086201F" w:rsidRPr="0086201F">
        <w:rPr>
          <w:rFonts w:ascii="Arial" w:eastAsia="Calibri" w:hAnsi="Arial" w:cs="Arial"/>
          <w:bCs/>
          <w:color w:val="000000" w:themeColor="text1"/>
        </w:rPr>
        <w:t>manufacturing—a</w:t>
      </w:r>
      <w:proofErr w:type="gramEnd"/>
      <w:r w:rsidR="0086201F" w:rsidRPr="0086201F">
        <w:rPr>
          <w:rFonts w:ascii="Arial" w:eastAsia="Calibri" w:hAnsi="Arial" w:cs="Arial"/>
          <w:bCs/>
          <w:color w:val="000000" w:themeColor="text1"/>
        </w:rPr>
        <w:t xml:space="preserve"> development consistently aligned with the pillars of Machining Transformation (MX): process integration, automation, Digital Transformation (DX), and Green Transformation (GX). To complement this concept, DMG MORI is showcasing its new solutions in the Best</w:t>
      </w:r>
      <w:r w:rsidR="00BD488D">
        <w:rPr>
          <w:rFonts w:ascii="Arial" w:eastAsia="Calibri" w:hAnsi="Arial" w:cs="Arial"/>
          <w:bCs/>
          <w:color w:val="000000" w:themeColor="text1"/>
        </w:rPr>
        <w:t xml:space="preserve"> F</w:t>
      </w:r>
      <w:r w:rsidR="0086201F" w:rsidRPr="0086201F">
        <w:rPr>
          <w:rFonts w:ascii="Arial" w:eastAsia="Calibri" w:hAnsi="Arial" w:cs="Arial"/>
          <w:bCs/>
          <w:color w:val="000000" w:themeColor="text1"/>
        </w:rPr>
        <w:t>it Machines (BX) category. These are machines that offer a scalable entry point into Machining Transformation (MX) with low complexity.</w:t>
      </w:r>
    </w:p>
    <w:bookmarkEnd w:id="0"/>
    <w:p w14:paraId="5441B575" w14:textId="77777777" w:rsidR="0086201F" w:rsidRPr="0086201F" w:rsidRDefault="0086201F" w:rsidP="004B58EE">
      <w:pPr>
        <w:spacing w:after="120" w:line="276" w:lineRule="auto"/>
        <w:jc w:val="both"/>
        <w:rPr>
          <w:rFonts w:ascii="Arial" w:eastAsia="Calibri" w:hAnsi="Arial" w:cs="Arial"/>
          <w:b/>
          <w:color w:val="000000" w:themeColor="text1"/>
        </w:rPr>
      </w:pPr>
      <w:r w:rsidRPr="0086201F">
        <w:rPr>
          <w:rFonts w:ascii="Arial" w:eastAsia="Calibri" w:hAnsi="Arial" w:cs="Arial"/>
          <w:b/>
          <w:color w:val="000000" w:themeColor="text1"/>
        </w:rPr>
        <w:t>Long-Term Collaboration as a Key to Success</w:t>
      </w:r>
    </w:p>
    <w:p w14:paraId="48AE3F56" w14:textId="77777777" w:rsidR="0086201F" w:rsidRPr="0086201F" w:rsidRDefault="0086201F" w:rsidP="00AD2C25">
      <w:pPr>
        <w:spacing w:before="240" w:after="120" w:line="276" w:lineRule="auto"/>
        <w:jc w:val="both"/>
        <w:rPr>
          <w:rFonts w:ascii="Arial" w:eastAsia="Calibri" w:hAnsi="Arial" w:cs="Arial"/>
          <w:bCs/>
          <w:color w:val="000000" w:themeColor="text1"/>
        </w:rPr>
      </w:pPr>
      <w:r w:rsidRPr="0086201F">
        <w:rPr>
          <w:rFonts w:ascii="Arial" w:eastAsia="Calibri" w:hAnsi="Arial" w:cs="Arial"/>
          <w:bCs/>
          <w:color w:val="000000" w:themeColor="text1"/>
        </w:rPr>
        <w:t xml:space="preserve">For DMG MORI, the design and commissioning of a manufacturing solution </w:t>
      </w:r>
      <w:proofErr w:type="gramStart"/>
      <w:r w:rsidRPr="0086201F">
        <w:rPr>
          <w:rFonts w:ascii="Arial" w:eastAsia="Calibri" w:hAnsi="Arial" w:cs="Arial"/>
          <w:bCs/>
          <w:color w:val="000000" w:themeColor="text1"/>
        </w:rPr>
        <w:t>marks</w:t>
      </w:r>
      <w:proofErr w:type="gramEnd"/>
      <w:r w:rsidRPr="0086201F">
        <w:rPr>
          <w:rFonts w:ascii="Arial" w:eastAsia="Calibri" w:hAnsi="Arial" w:cs="Arial"/>
          <w:bCs/>
          <w:color w:val="000000" w:themeColor="text1"/>
        </w:rPr>
        <w:t xml:space="preserve"> the beginning of a long-term collaboration with its customers. The focus is on reliable partnerships throughout the entire lifecycle. This foundation enables the development of competitive manufacturing solutions that meet rising quality and productivity requirements. To achieve this, DMG MORI combines state-of-the-art machines with efficient automation. Digital tools and products from the DMQP portfolio (DMG MORI Qualified Products) round out the offering. Service and spare parts programs ensure high availability. Modernization concepts such as retrofits and lifecycle services extend the useful life of the investment and adapt it to new requirements. Financing solutions from DMG MORI Finance and customized training programs are also integral parts of this collaborative partnership.</w:t>
      </w:r>
    </w:p>
    <w:p w14:paraId="1BD0CCE5" w14:textId="3870AA05" w:rsidR="00AD2C25" w:rsidRPr="00663377" w:rsidRDefault="00AD2C25" w:rsidP="00AD2C25">
      <w:pPr>
        <w:spacing w:before="240" w:after="120" w:line="276" w:lineRule="auto"/>
        <w:jc w:val="both"/>
        <w:rPr>
          <w:rFonts w:ascii="Arial" w:eastAsia="Calibri" w:hAnsi="Arial" w:cs="Arial"/>
          <w:b/>
          <w:color w:val="000000" w:themeColor="text1"/>
        </w:rPr>
      </w:pPr>
      <w:r w:rsidRPr="00663377">
        <w:rPr>
          <w:rFonts w:ascii="Arial" w:eastAsia="Calibri" w:hAnsi="Arial" w:cs="Arial"/>
          <w:b/>
          <w:color w:val="000000" w:themeColor="text1"/>
        </w:rPr>
        <w:t xml:space="preserve">BX &amp; MX – </w:t>
      </w:r>
      <w:r w:rsidR="00663377" w:rsidRPr="00663377">
        <w:rPr>
          <w:rFonts w:ascii="Arial" w:eastAsia="Calibri" w:hAnsi="Arial" w:cs="Arial"/>
          <w:b/>
          <w:color w:val="000000" w:themeColor="text1"/>
        </w:rPr>
        <w:t>Best</w:t>
      </w:r>
      <w:r w:rsidR="00BD488D">
        <w:rPr>
          <w:rFonts w:ascii="Arial" w:eastAsia="Calibri" w:hAnsi="Arial" w:cs="Arial"/>
          <w:b/>
          <w:color w:val="000000" w:themeColor="text1"/>
        </w:rPr>
        <w:t xml:space="preserve"> F</w:t>
      </w:r>
      <w:r w:rsidR="00663377" w:rsidRPr="00663377">
        <w:rPr>
          <w:rFonts w:ascii="Arial" w:eastAsia="Calibri" w:hAnsi="Arial" w:cs="Arial"/>
          <w:b/>
          <w:color w:val="000000" w:themeColor="text1"/>
        </w:rPr>
        <w:t>it Portfolio for Scalable Manufacturing</w:t>
      </w:r>
    </w:p>
    <w:p w14:paraId="1CEDDA0F" w14:textId="77777777" w:rsidR="00663377" w:rsidRPr="00663377" w:rsidRDefault="00663377" w:rsidP="00663377">
      <w:pPr>
        <w:spacing w:before="240" w:after="120" w:line="276" w:lineRule="auto"/>
        <w:jc w:val="both"/>
        <w:rPr>
          <w:rFonts w:ascii="Arial" w:eastAsia="Calibri" w:hAnsi="Arial" w:cs="Arial"/>
          <w:bCs/>
          <w:color w:val="000000" w:themeColor="text1"/>
        </w:rPr>
      </w:pPr>
      <w:r w:rsidRPr="00663377">
        <w:rPr>
          <w:rFonts w:ascii="Arial" w:eastAsia="Calibri" w:hAnsi="Arial" w:cs="Arial"/>
          <w:bCs/>
          <w:color w:val="000000" w:themeColor="text1"/>
        </w:rPr>
        <w:t xml:space="preserve">DMG MORI views Machining Transformation as a holistic approach to designing efficient and productive manufacturing solutions for the most demanding applications. At the heart of this approach are technologies such as 5-axis simultaneous milling and 6-side complete machining on turn-mill centers, which serve as the foundation for integrating additional process steps, such as gear cutting and grinding. Automation solutions and Digital Transformation (DX) also contribute to the sustainable optimization of processes. The goal is competitive manufacturing that is sustainable in the spirit of </w:t>
      </w:r>
      <w:proofErr w:type="gramStart"/>
      <w:r w:rsidRPr="00663377">
        <w:rPr>
          <w:rFonts w:ascii="Arial" w:eastAsia="Calibri" w:hAnsi="Arial" w:cs="Arial"/>
          <w:bCs/>
          <w:color w:val="000000" w:themeColor="text1"/>
        </w:rPr>
        <w:t>the Green</w:t>
      </w:r>
      <w:proofErr w:type="gramEnd"/>
      <w:r w:rsidRPr="00663377">
        <w:rPr>
          <w:rFonts w:ascii="Arial" w:eastAsia="Calibri" w:hAnsi="Arial" w:cs="Arial"/>
          <w:bCs/>
          <w:color w:val="000000" w:themeColor="text1"/>
        </w:rPr>
        <w:t xml:space="preserve"> Transformation (GX).</w:t>
      </w:r>
    </w:p>
    <w:p w14:paraId="5A99175F" w14:textId="3887A6DE" w:rsidR="00663377" w:rsidRPr="00663377" w:rsidRDefault="00663377" w:rsidP="00DA6B17">
      <w:pPr>
        <w:spacing w:before="240" w:after="120" w:line="276" w:lineRule="auto"/>
        <w:jc w:val="both"/>
        <w:rPr>
          <w:rFonts w:ascii="Arial" w:eastAsia="Calibri" w:hAnsi="Arial" w:cs="Arial"/>
          <w:bCs/>
          <w:color w:val="000000" w:themeColor="text1"/>
        </w:rPr>
      </w:pPr>
      <w:r w:rsidRPr="00663377">
        <w:rPr>
          <w:rFonts w:ascii="Arial" w:eastAsia="Calibri" w:hAnsi="Arial" w:cs="Arial"/>
          <w:bCs/>
          <w:color w:val="000000" w:themeColor="text1"/>
        </w:rPr>
        <w:lastRenderedPageBreak/>
        <w:t>The new BX solutions complement the MX portfolio with less complex, attractively priced machines. Examples of this at AMB include the DMV 160 as a new size class in vertical milling, the CLX 450 for turn-mill operations, and the DMX 80 U for 5-axis milling. Machines like these enable a cost-effective entry into future-proof production</w:t>
      </w:r>
      <w:r w:rsidR="006A5BE1">
        <w:rPr>
          <w:rFonts w:ascii="Arial" w:eastAsia="Calibri" w:hAnsi="Arial" w:cs="Arial"/>
          <w:bCs/>
          <w:color w:val="000000" w:themeColor="text1"/>
        </w:rPr>
        <w:t xml:space="preserve">, </w:t>
      </w:r>
      <w:r w:rsidRPr="00663377">
        <w:rPr>
          <w:rFonts w:ascii="Arial" w:eastAsia="Calibri" w:hAnsi="Arial" w:cs="Arial"/>
          <w:bCs/>
          <w:color w:val="000000" w:themeColor="text1"/>
        </w:rPr>
        <w:t xml:space="preserve">even in markets with lower investment willingness. In an already state-of-the-art manufacturing environment, they increase production capacity for simpler workpieces. </w:t>
      </w:r>
      <w:r w:rsidR="00FE1A90" w:rsidRPr="00FE1A90">
        <w:rPr>
          <w:rFonts w:ascii="Arial" w:eastAsia="Calibri" w:hAnsi="Arial" w:cs="Arial"/>
          <w:color w:val="000000" w:themeColor="text1"/>
        </w:rPr>
        <w:t xml:space="preserve">BX Solutions expands the machine portfolio with cost-effective manufacturing solutions, most of which are already compatible with CELOS X and can be automated.  </w:t>
      </w:r>
      <w:r w:rsidRPr="00663377">
        <w:rPr>
          <w:rFonts w:ascii="Arial" w:eastAsia="Calibri" w:hAnsi="Arial" w:cs="Arial"/>
          <w:bCs/>
          <w:color w:val="000000" w:themeColor="text1"/>
        </w:rPr>
        <w:t>In addition, DMG MORI technology cycles accelerate shop-floor programming. With the complete Gear Package ALL IN 2.0, featuring 8 technology cycles, users can perform gear machining on existing turn-mill machines without having to use a separate gear-cutting machine.</w:t>
      </w:r>
    </w:p>
    <w:p w14:paraId="18C54CDB" w14:textId="77777777" w:rsidR="00663377" w:rsidRPr="000210C8" w:rsidRDefault="00663377" w:rsidP="001B4F34">
      <w:pPr>
        <w:spacing w:after="120" w:line="276" w:lineRule="auto"/>
        <w:jc w:val="both"/>
        <w:rPr>
          <w:rFonts w:ascii="Arial" w:eastAsia="Calibri" w:hAnsi="Arial" w:cs="Arial"/>
          <w:b/>
          <w:color w:val="000000" w:themeColor="text1"/>
        </w:rPr>
      </w:pPr>
      <w:r w:rsidRPr="000210C8">
        <w:rPr>
          <w:rFonts w:ascii="Arial" w:eastAsia="Calibri" w:hAnsi="Arial" w:cs="Arial"/>
          <w:b/>
          <w:color w:val="000000" w:themeColor="text1"/>
        </w:rPr>
        <w:t xml:space="preserve">Process Optimization Through Complete Machining, 5-Axis Machining, and Additive Technologies </w:t>
      </w:r>
    </w:p>
    <w:p w14:paraId="62DC1907" w14:textId="5ED0B9C0" w:rsidR="00663377" w:rsidRPr="00663377" w:rsidRDefault="00663377" w:rsidP="731DE026">
      <w:pPr>
        <w:spacing w:after="120" w:line="276" w:lineRule="auto"/>
        <w:jc w:val="both"/>
        <w:rPr>
          <w:rFonts w:ascii="Arial" w:eastAsia="Calibri" w:hAnsi="Arial" w:cs="Arial"/>
          <w:color w:val="000000" w:themeColor="text1"/>
        </w:rPr>
      </w:pPr>
      <w:r w:rsidRPr="731DE026">
        <w:rPr>
          <w:rFonts w:ascii="Arial" w:eastAsia="Calibri" w:hAnsi="Arial" w:cs="Arial"/>
          <w:color w:val="000000" w:themeColor="text1"/>
        </w:rPr>
        <w:t>Long-term competitiveness does not stem solely from individual machines, but from manufacturing solutions that can be adapted to changing requirements. That is why DMG</w:t>
      </w:r>
      <w:r w:rsidR="00685B2E">
        <w:rPr>
          <w:rFonts w:ascii="Arial" w:eastAsia="Calibri" w:hAnsi="Arial" w:cs="Arial"/>
          <w:color w:val="000000" w:themeColor="text1"/>
        </w:rPr>
        <w:t> </w:t>
      </w:r>
      <w:r w:rsidRPr="731DE026">
        <w:rPr>
          <w:rFonts w:ascii="Arial" w:eastAsia="Calibri" w:hAnsi="Arial" w:cs="Arial"/>
          <w:color w:val="000000" w:themeColor="text1"/>
        </w:rPr>
        <w:t>MORI supports its customers with technologies that make processes safer and more productive. These include</w:t>
      </w:r>
      <w:proofErr w:type="gramStart"/>
      <w:r w:rsidRPr="731DE026">
        <w:rPr>
          <w:rFonts w:ascii="Arial" w:eastAsia="Calibri" w:hAnsi="Arial" w:cs="Arial"/>
          <w:color w:val="000000" w:themeColor="text1"/>
        </w:rPr>
        <w:t>, in particular, 5-axis</w:t>
      </w:r>
      <w:proofErr w:type="gramEnd"/>
      <w:r w:rsidRPr="731DE026">
        <w:rPr>
          <w:rFonts w:ascii="Arial" w:eastAsia="Calibri" w:hAnsi="Arial" w:cs="Arial"/>
          <w:color w:val="000000" w:themeColor="text1"/>
        </w:rPr>
        <w:t xml:space="preserve"> simultaneous machining centers and turn-mill centers for 6-side complete machining. Grinding and measuring can also be integrated into a single setup, as DMG MORI demonstrates on the DMC 80 FDS </w:t>
      </w:r>
      <w:proofErr w:type="spellStart"/>
      <w:r w:rsidRPr="731DE026">
        <w:rPr>
          <w:rFonts w:ascii="Arial" w:eastAsia="Calibri" w:hAnsi="Arial" w:cs="Arial"/>
          <w:color w:val="000000" w:themeColor="text1"/>
        </w:rPr>
        <w:t>duoBLOCK</w:t>
      </w:r>
      <w:proofErr w:type="spellEnd"/>
      <w:r w:rsidRPr="731DE026">
        <w:rPr>
          <w:rFonts w:ascii="Arial" w:eastAsia="Calibri" w:hAnsi="Arial" w:cs="Arial"/>
          <w:color w:val="000000" w:themeColor="text1"/>
        </w:rPr>
        <w:t xml:space="preserve"> or the </w:t>
      </w:r>
      <w:r w:rsidR="00AA24C5">
        <w:rPr>
          <w:rFonts w:ascii="Arial" w:eastAsia="Calibri" w:hAnsi="Arial" w:cs="Arial"/>
          <w:color w:val="000000" w:themeColor="text1"/>
        </w:rPr>
        <w:br/>
      </w:r>
      <w:r w:rsidRPr="731DE026">
        <w:rPr>
          <w:rFonts w:ascii="Arial" w:eastAsia="Calibri" w:hAnsi="Arial" w:cs="Arial"/>
          <w:color w:val="000000" w:themeColor="text1"/>
        </w:rPr>
        <w:t xml:space="preserve">3. Generation NTX 2500. An automatic measuring unit, along with pallet and workpiece changes, increases machine uptime. The result is consistently precise machining all the way through to finishing. DMG MORI also implements complete machining in the field of gear cutting. Even on a CLX 450, the DMG MORI </w:t>
      </w:r>
      <w:proofErr w:type="spellStart"/>
      <w:r w:rsidRPr="731DE026">
        <w:rPr>
          <w:rFonts w:ascii="Arial" w:eastAsia="Calibri" w:hAnsi="Arial" w:cs="Arial"/>
          <w:color w:val="000000" w:themeColor="text1"/>
        </w:rPr>
        <w:t>gearB</w:t>
      </w:r>
      <w:r w:rsidR="1FA6545F" w:rsidRPr="731DE026">
        <w:rPr>
          <w:rFonts w:ascii="Arial" w:eastAsia="Calibri" w:hAnsi="Arial" w:cs="Arial"/>
          <w:color w:val="000000" w:themeColor="text1"/>
        </w:rPr>
        <w:t>R</w:t>
      </w:r>
      <w:r w:rsidRPr="731DE026">
        <w:rPr>
          <w:rFonts w:ascii="Arial" w:eastAsia="Calibri" w:hAnsi="Arial" w:cs="Arial"/>
          <w:color w:val="000000" w:themeColor="text1"/>
        </w:rPr>
        <w:t>OACHING</w:t>
      </w:r>
      <w:proofErr w:type="spellEnd"/>
      <w:r w:rsidRPr="731DE026">
        <w:rPr>
          <w:rFonts w:ascii="Arial" w:eastAsia="Calibri" w:hAnsi="Arial" w:cs="Arial"/>
          <w:color w:val="000000" w:themeColor="text1"/>
        </w:rPr>
        <w:t xml:space="preserve"> technology cycle supports job shops </w:t>
      </w:r>
      <w:proofErr w:type="gramStart"/>
      <w:r w:rsidRPr="731DE026">
        <w:rPr>
          <w:rFonts w:ascii="Arial" w:eastAsia="Calibri" w:hAnsi="Arial" w:cs="Arial"/>
          <w:color w:val="000000" w:themeColor="text1"/>
        </w:rPr>
        <w:t>in particular by</w:t>
      </w:r>
      <w:proofErr w:type="gramEnd"/>
      <w:r w:rsidRPr="731DE026">
        <w:rPr>
          <w:rFonts w:ascii="Arial" w:eastAsia="Calibri" w:hAnsi="Arial" w:cs="Arial"/>
          <w:color w:val="000000" w:themeColor="text1"/>
        </w:rPr>
        <w:t xml:space="preserve"> enabling flexible and more cost-effective gear production without the need for specialized machinery. Integrated processes like these shorten lead times and lay the foundation for stable processes and sustainable success.</w:t>
      </w:r>
    </w:p>
    <w:p w14:paraId="55ECEC2B" w14:textId="77777777" w:rsidR="00663377" w:rsidRDefault="00663377" w:rsidP="008906A3">
      <w:pPr>
        <w:spacing w:before="240" w:after="120" w:line="276" w:lineRule="auto"/>
        <w:jc w:val="both"/>
        <w:rPr>
          <w:rFonts w:ascii="Arial" w:eastAsia="Calibri" w:hAnsi="Arial" w:cs="Arial"/>
          <w:bCs/>
          <w:color w:val="000000" w:themeColor="text1"/>
        </w:rPr>
      </w:pPr>
      <w:r w:rsidRPr="00663377">
        <w:rPr>
          <w:rFonts w:ascii="Arial" w:eastAsia="Calibri" w:hAnsi="Arial" w:cs="Arial"/>
          <w:bCs/>
          <w:color w:val="000000" w:themeColor="text1"/>
        </w:rPr>
        <w:t xml:space="preserve">Additive technologies also </w:t>
      </w:r>
      <w:proofErr w:type="gramStart"/>
      <w:r w:rsidRPr="00663377">
        <w:rPr>
          <w:rFonts w:ascii="Arial" w:eastAsia="Calibri" w:hAnsi="Arial" w:cs="Arial"/>
          <w:bCs/>
          <w:color w:val="000000" w:themeColor="text1"/>
        </w:rPr>
        <w:t>open up</w:t>
      </w:r>
      <w:proofErr w:type="gramEnd"/>
      <w:r w:rsidRPr="00663377">
        <w:rPr>
          <w:rFonts w:ascii="Arial" w:eastAsia="Calibri" w:hAnsi="Arial" w:cs="Arial"/>
          <w:bCs/>
          <w:color w:val="000000" w:themeColor="text1"/>
        </w:rPr>
        <w:t xml:space="preserve"> new possibilities in manufacturing. With powder-bed systems from the LASERTEC SLM series and the LASERTEC DED hybrid models for laser cladding, DMG MORI supports users from identifying suitable applications to successfully integrating additive processes into their existing production.</w:t>
      </w:r>
    </w:p>
    <w:p w14:paraId="4BAC5941" w14:textId="77777777" w:rsidR="00663377" w:rsidRPr="00663377" w:rsidRDefault="00663377" w:rsidP="001B4F34">
      <w:pPr>
        <w:spacing w:after="120" w:line="276" w:lineRule="auto"/>
        <w:jc w:val="both"/>
        <w:rPr>
          <w:rFonts w:ascii="Arial" w:eastAsia="Calibri" w:hAnsi="Arial" w:cs="Arial"/>
          <w:b/>
          <w:color w:val="000000" w:themeColor="text1"/>
        </w:rPr>
      </w:pPr>
      <w:r w:rsidRPr="00663377">
        <w:rPr>
          <w:rFonts w:ascii="Arial" w:eastAsia="Calibri" w:hAnsi="Arial" w:cs="Arial"/>
          <w:b/>
          <w:color w:val="000000" w:themeColor="text1"/>
        </w:rPr>
        <w:t>Ready for 24/7 Operation with Flexible Automation</w:t>
      </w:r>
    </w:p>
    <w:p w14:paraId="71C1C74C" w14:textId="39C265F9" w:rsidR="003947A4" w:rsidRDefault="003947A4" w:rsidP="001B4F34">
      <w:pPr>
        <w:spacing w:after="120" w:line="276" w:lineRule="auto"/>
        <w:jc w:val="both"/>
        <w:rPr>
          <w:rFonts w:ascii="Arial" w:eastAsia="Calibri" w:hAnsi="Arial" w:cs="Arial"/>
          <w:bCs/>
          <w:color w:val="000000" w:themeColor="text1"/>
        </w:rPr>
      </w:pPr>
      <w:r w:rsidRPr="003947A4">
        <w:rPr>
          <w:rFonts w:ascii="Arial" w:eastAsia="Calibri" w:hAnsi="Arial" w:cs="Arial"/>
          <w:bCs/>
          <w:color w:val="000000" w:themeColor="text1"/>
        </w:rPr>
        <w:t xml:space="preserve">Smaller batch sizes and greater component variety mean that automation solutions are no longer limited to pure mass production but must increasingly be versatile. Using a </w:t>
      </w:r>
      <w:r w:rsidR="00AA24C5">
        <w:rPr>
          <w:rFonts w:ascii="Arial" w:eastAsia="Calibri" w:hAnsi="Arial" w:cs="Arial"/>
          <w:bCs/>
          <w:color w:val="000000" w:themeColor="text1"/>
        </w:rPr>
        <w:br/>
      </w:r>
      <w:r w:rsidRPr="003947A4">
        <w:rPr>
          <w:rFonts w:ascii="Arial" w:eastAsia="Calibri" w:hAnsi="Arial" w:cs="Arial"/>
          <w:bCs/>
          <w:color w:val="000000" w:themeColor="text1"/>
        </w:rPr>
        <w:t xml:space="preserve">2. Generation DMU 60 </w:t>
      </w:r>
      <w:proofErr w:type="spellStart"/>
      <w:r w:rsidRPr="003947A4">
        <w:rPr>
          <w:rFonts w:ascii="Arial" w:eastAsia="Calibri" w:hAnsi="Arial" w:cs="Arial"/>
          <w:bCs/>
          <w:color w:val="000000" w:themeColor="text1"/>
        </w:rPr>
        <w:t>eVo</w:t>
      </w:r>
      <w:proofErr w:type="spellEnd"/>
      <w:r w:rsidRPr="003947A4">
        <w:rPr>
          <w:rFonts w:ascii="Arial" w:eastAsia="Calibri" w:hAnsi="Arial" w:cs="Arial"/>
          <w:bCs/>
          <w:color w:val="000000" w:themeColor="text1"/>
        </w:rPr>
        <w:t>, DMG MORI demonstrates with the compact MATRIS WPH 70 just how flexible automated manufacturing can be. The robot-based system is designed to handle both workpieces and pallets. In combination with an automatic measuring unit, the MATRIS</w:t>
      </w:r>
      <w:r w:rsidR="00685B2E">
        <w:rPr>
          <w:rFonts w:ascii="Arial" w:eastAsia="Calibri" w:hAnsi="Arial" w:cs="Arial"/>
          <w:bCs/>
          <w:color w:val="000000" w:themeColor="text1"/>
        </w:rPr>
        <w:t> </w:t>
      </w:r>
      <w:r w:rsidRPr="003947A4">
        <w:rPr>
          <w:rFonts w:ascii="Arial" w:eastAsia="Calibri" w:hAnsi="Arial" w:cs="Arial"/>
          <w:bCs/>
          <w:color w:val="000000" w:themeColor="text1"/>
        </w:rPr>
        <w:t>WPH solutions contribute to significantly higher machine uptime. They thus pave the way for cost-effective 24/7 production.</w:t>
      </w:r>
    </w:p>
    <w:p w14:paraId="6DB1D551" w14:textId="77777777" w:rsidR="005327EE" w:rsidRPr="003947A4" w:rsidRDefault="005327EE" w:rsidP="001B4F34">
      <w:pPr>
        <w:spacing w:after="120" w:line="276" w:lineRule="auto"/>
        <w:jc w:val="both"/>
        <w:rPr>
          <w:rFonts w:ascii="Arial" w:eastAsia="Calibri" w:hAnsi="Arial" w:cs="Arial"/>
          <w:bCs/>
          <w:color w:val="000000" w:themeColor="text1"/>
        </w:rPr>
      </w:pPr>
    </w:p>
    <w:p w14:paraId="6A2BC75D" w14:textId="651EC785" w:rsidR="731DE026" w:rsidRPr="000210C8" w:rsidRDefault="3840D1A4" w:rsidP="731DE026">
      <w:pPr>
        <w:spacing w:after="120" w:line="276" w:lineRule="auto"/>
        <w:jc w:val="both"/>
        <w:rPr>
          <w:rFonts w:ascii="Arial" w:eastAsia="Calibri" w:hAnsi="Arial" w:cs="Arial"/>
          <w:color w:val="000000" w:themeColor="text1"/>
        </w:rPr>
      </w:pPr>
      <w:proofErr w:type="gramStart"/>
      <w:r w:rsidRPr="000210C8">
        <w:rPr>
          <w:rFonts w:ascii="Arial" w:eastAsia="Calibri" w:hAnsi="Arial" w:cs="Arial"/>
          <w:color w:val="000000" w:themeColor="text1"/>
        </w:rPr>
        <w:lastRenderedPageBreak/>
        <w:t>The Robo2Go</w:t>
      </w:r>
      <w:proofErr w:type="gramEnd"/>
      <w:r w:rsidRPr="000210C8">
        <w:rPr>
          <w:rFonts w:ascii="Arial" w:eastAsia="Calibri" w:hAnsi="Arial" w:cs="Arial"/>
          <w:color w:val="000000" w:themeColor="text1"/>
        </w:rPr>
        <w:t xml:space="preserve"> is now available in combination with the </w:t>
      </w:r>
      <w:proofErr w:type="spellStart"/>
      <w:r w:rsidRPr="000210C8">
        <w:rPr>
          <w:rFonts w:ascii="Arial" w:eastAsia="Calibri" w:hAnsi="Arial" w:cs="Arial"/>
          <w:color w:val="000000" w:themeColor="text1"/>
        </w:rPr>
        <w:t>easyFIX</w:t>
      </w:r>
      <w:proofErr w:type="spellEnd"/>
      <w:r w:rsidRPr="000210C8">
        <w:rPr>
          <w:rFonts w:ascii="Arial" w:eastAsia="Calibri" w:hAnsi="Arial" w:cs="Arial"/>
          <w:color w:val="000000" w:themeColor="text1"/>
        </w:rPr>
        <w:t xml:space="preserve"> automation clamping system. For changing workpieces, the robot can precisely reposition the vise, giving it even greater autonomy. Manual intervention by an operator is eliminated, while automated clamping ensures consistent processes. DMG MORI will present the solution at AMB on a 5-axis DMU</w:t>
      </w:r>
      <w:r w:rsidR="005327EE">
        <w:rPr>
          <w:rFonts w:ascii="Arial" w:eastAsia="Calibri" w:hAnsi="Arial" w:cs="Arial"/>
          <w:color w:val="000000" w:themeColor="text1"/>
        </w:rPr>
        <w:t> </w:t>
      </w:r>
      <w:r w:rsidRPr="000210C8">
        <w:rPr>
          <w:rFonts w:ascii="Arial" w:eastAsia="Calibri" w:hAnsi="Arial" w:cs="Arial"/>
          <w:color w:val="000000" w:themeColor="text1"/>
        </w:rPr>
        <w:t>40.</w:t>
      </w:r>
    </w:p>
    <w:p w14:paraId="17452274" w14:textId="77777777" w:rsidR="003947A4" w:rsidRPr="000210C8" w:rsidRDefault="003947A4" w:rsidP="001906A8">
      <w:pPr>
        <w:spacing w:after="120" w:line="276" w:lineRule="auto"/>
        <w:jc w:val="both"/>
        <w:rPr>
          <w:rFonts w:ascii="Arial" w:eastAsia="Calibri" w:hAnsi="Arial" w:cs="Arial"/>
          <w:b/>
          <w:color w:val="000000" w:themeColor="text1"/>
        </w:rPr>
      </w:pPr>
      <w:r w:rsidRPr="000210C8">
        <w:rPr>
          <w:rFonts w:ascii="Arial" w:eastAsia="Calibri" w:hAnsi="Arial" w:cs="Arial"/>
          <w:b/>
          <w:color w:val="000000" w:themeColor="text1"/>
        </w:rPr>
        <w:t xml:space="preserve">Digital Transformation (DX): Connected Manufacturing and Faster Programming </w:t>
      </w:r>
    </w:p>
    <w:p w14:paraId="779E119D" w14:textId="77777777" w:rsidR="003947A4" w:rsidRPr="000210C8" w:rsidRDefault="003947A4" w:rsidP="001906A8">
      <w:pPr>
        <w:spacing w:after="120" w:line="276" w:lineRule="auto"/>
        <w:jc w:val="both"/>
        <w:rPr>
          <w:rFonts w:ascii="Arial" w:eastAsia="Calibri" w:hAnsi="Arial" w:cs="Arial"/>
          <w:bCs/>
          <w:color w:val="000000" w:themeColor="text1"/>
        </w:rPr>
      </w:pPr>
      <w:r w:rsidRPr="003947A4">
        <w:rPr>
          <w:rFonts w:ascii="Arial" w:eastAsia="Calibri" w:hAnsi="Arial" w:cs="Arial"/>
          <w:bCs/>
          <w:color w:val="000000" w:themeColor="text1"/>
        </w:rPr>
        <w:t xml:space="preserve">As a cornerstone of Machining Transformation (MX), Digital Transformation (DX) expands innovative manufacturing solutions. With CELOS X, DMG MORI has created a platform that seamlessly connects machines, processes, and applications. This results in less complex and significantly more transparent production. When it comes to service, the online platform my DMG MORI accelerates problem-solving through equally transparent and direct communication with the relevant specialists. </w:t>
      </w:r>
      <w:r w:rsidRPr="000210C8">
        <w:rPr>
          <w:rFonts w:ascii="Arial" w:eastAsia="Calibri" w:hAnsi="Arial" w:cs="Arial"/>
          <w:bCs/>
          <w:color w:val="000000" w:themeColor="text1"/>
        </w:rPr>
        <w:t>Spare parts are also procured via a digital platform.</w:t>
      </w:r>
    </w:p>
    <w:p w14:paraId="22B2F7A6" w14:textId="16EBD675" w:rsidR="00421A8C" w:rsidRPr="003947A4" w:rsidRDefault="003947A4" w:rsidP="001906A8">
      <w:pPr>
        <w:spacing w:after="120" w:line="276" w:lineRule="auto"/>
        <w:jc w:val="both"/>
        <w:rPr>
          <w:rFonts w:ascii="Arial" w:eastAsia="Calibri" w:hAnsi="Arial" w:cs="Arial"/>
          <w:bCs/>
          <w:color w:val="000000" w:themeColor="text1"/>
        </w:rPr>
      </w:pPr>
      <w:r w:rsidRPr="003947A4">
        <w:rPr>
          <w:rFonts w:ascii="Arial" w:eastAsia="Calibri" w:hAnsi="Arial" w:cs="Arial"/>
          <w:bCs/>
          <w:color w:val="000000" w:themeColor="text1"/>
        </w:rPr>
        <w:t xml:space="preserve">Exclusive DMG MORI technology cycles reduce programming times by up to 60 percent and integrate manufacturing processes such as gear cutting or grinding. The machine tool manufacturer can temporarily activate selected technology cycles via </w:t>
      </w:r>
      <w:proofErr w:type="gramStart"/>
      <w:r w:rsidRPr="003947A4">
        <w:rPr>
          <w:rFonts w:ascii="Arial" w:eastAsia="Calibri" w:hAnsi="Arial" w:cs="Arial"/>
          <w:bCs/>
          <w:color w:val="000000" w:themeColor="text1"/>
        </w:rPr>
        <w:t>the my</w:t>
      </w:r>
      <w:proofErr w:type="gramEnd"/>
      <w:r w:rsidRPr="003947A4">
        <w:rPr>
          <w:rFonts w:ascii="Arial" w:eastAsia="Calibri" w:hAnsi="Arial" w:cs="Arial"/>
          <w:bCs/>
          <w:color w:val="000000" w:themeColor="text1"/>
        </w:rPr>
        <w:t xml:space="preserve"> DMG MORI customer portal, allowing users to test them and utilize them according to their needs with flexible payment options. At the AMB, the range of these on-demand technology cycles will be expanded for all machines from the </w:t>
      </w:r>
      <w:proofErr w:type="spellStart"/>
      <w:r w:rsidRPr="003947A4">
        <w:rPr>
          <w:rFonts w:ascii="Arial" w:eastAsia="Calibri" w:hAnsi="Arial" w:cs="Arial"/>
          <w:bCs/>
          <w:color w:val="000000" w:themeColor="text1"/>
        </w:rPr>
        <w:t>Pfronten</w:t>
      </w:r>
      <w:proofErr w:type="spellEnd"/>
      <w:r w:rsidRPr="003947A4">
        <w:rPr>
          <w:rFonts w:ascii="Arial" w:eastAsia="Calibri" w:hAnsi="Arial" w:cs="Arial"/>
          <w:bCs/>
          <w:color w:val="000000" w:themeColor="text1"/>
        </w:rPr>
        <w:t xml:space="preserve"> plant to include the Application Turning Cycle (ATC) and Machine Protection Control (MPC 2.0). The former adjusts the feed rate in a process-oriented manner relative to the table load. MPC 2.0 minimizes the risk of a crash by monitoring vibrations and quickly shutting down the machine if necessary.</w:t>
      </w:r>
    </w:p>
    <w:p w14:paraId="72294184" w14:textId="77777777" w:rsidR="00421A8C" w:rsidRPr="003947A4" w:rsidRDefault="00421A8C" w:rsidP="001906A8">
      <w:pPr>
        <w:spacing w:after="120" w:line="276" w:lineRule="auto"/>
        <w:jc w:val="both"/>
        <w:rPr>
          <w:rFonts w:ascii="Arial" w:eastAsia="Calibri" w:hAnsi="Arial" w:cs="Arial"/>
          <w:bCs/>
          <w:color w:val="000000" w:themeColor="text1"/>
        </w:rPr>
      </w:pPr>
    </w:p>
    <w:p w14:paraId="2D7E6272" w14:textId="6178B4FD" w:rsidR="00FE0E83" w:rsidRPr="003947A4" w:rsidRDefault="00FE0E83">
      <w:pPr>
        <w:rPr>
          <w:rFonts w:ascii="Arial" w:eastAsia="Calibri" w:hAnsi="Arial" w:cs="Arial"/>
          <w:bCs/>
          <w:color w:val="000000" w:themeColor="text1"/>
        </w:rPr>
      </w:pPr>
      <w:r w:rsidRPr="003947A4">
        <w:rPr>
          <w:rFonts w:ascii="Arial" w:eastAsia="Calibri" w:hAnsi="Arial" w:cs="Arial"/>
          <w:bCs/>
          <w:color w:val="000000" w:themeColor="text1"/>
        </w:rPr>
        <w:br w:type="page"/>
      </w:r>
    </w:p>
    <w:p w14:paraId="219356CE" w14:textId="43338FB3" w:rsidR="00421A8C" w:rsidRPr="008906A3" w:rsidRDefault="009001F5" w:rsidP="008906A3">
      <w:pPr>
        <w:autoSpaceDE w:val="0"/>
        <w:autoSpaceDN w:val="0"/>
        <w:adjustRightInd w:val="0"/>
        <w:spacing w:after="40" w:line="269" w:lineRule="auto"/>
        <w:ind w:right="-7"/>
        <w:jc w:val="both"/>
        <w:rPr>
          <w:rFonts w:ascii="Arial" w:eastAsia="MS Mincho" w:hAnsi="Arial" w:cs="Arial"/>
          <w:b/>
          <w:noProof/>
          <w:color w:val="000000" w:themeColor="text1"/>
          <w:sz w:val="16"/>
          <w:szCs w:val="18"/>
          <w:lang w:val="de-DE"/>
        </w:rPr>
      </w:pPr>
      <w:r>
        <w:rPr>
          <w:rFonts w:ascii="Arial" w:eastAsia="MS Mincho" w:hAnsi="Arial" w:cs="Arial"/>
          <w:b/>
          <w:noProof/>
          <w:color w:val="000000" w:themeColor="text1"/>
          <w:sz w:val="16"/>
          <w:szCs w:val="18"/>
          <w:lang w:val="de-DE"/>
        </w:rPr>
        <w:lastRenderedPageBreak/>
        <w:drawing>
          <wp:inline distT="0" distB="0" distL="0" distR="0" wp14:anchorId="76A3E416" wp14:editId="454B3948">
            <wp:extent cx="4826000" cy="2757714"/>
            <wp:effectExtent l="0" t="0" r="0" b="5080"/>
            <wp:docPr id="7" name="Grafik 7">
              <a:extLst xmlns:a="http://schemas.openxmlformats.org/drawingml/2006/main">
                <a:ext uri="{FF2B5EF4-FFF2-40B4-BE49-F238E27FC236}">
                  <a16:creationId xmlns:a16="http://schemas.microsoft.com/office/drawing/2014/main" id="{6C59F36B-83C9-4869-B7A7-B033BBDCD7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36660" cy="2763805"/>
                    </a:xfrm>
                    <a:prstGeom prst="rect">
                      <a:avLst/>
                    </a:prstGeom>
                    <a:noFill/>
                    <a:ln>
                      <a:noFill/>
                    </a:ln>
                  </pic:spPr>
                </pic:pic>
              </a:graphicData>
            </a:graphic>
          </wp:inline>
        </w:drawing>
      </w:r>
    </w:p>
    <w:p w14:paraId="7F001A71" w14:textId="2382950A" w:rsidR="004C059C" w:rsidRPr="004B12D8" w:rsidRDefault="004B12D8" w:rsidP="004B12D8">
      <w:pPr>
        <w:spacing w:after="120" w:line="276" w:lineRule="auto"/>
        <w:ind w:right="1559"/>
        <w:jc w:val="both"/>
        <w:rPr>
          <w:rFonts w:ascii="Arial" w:eastAsia="Calibri" w:hAnsi="Arial" w:cs="Arial"/>
          <w:bCs/>
          <w:color w:val="000000" w:themeColor="text1"/>
        </w:rPr>
      </w:pPr>
      <w:r w:rsidRPr="004B12D8">
        <w:rPr>
          <w:rFonts w:ascii="Arial" w:eastAsia="MS Mincho" w:hAnsi="Arial" w:cs="Arial"/>
          <w:bCs/>
          <w:color w:val="000000" w:themeColor="text1"/>
          <w:sz w:val="16"/>
          <w:szCs w:val="18"/>
        </w:rPr>
        <w:t>Under the motto “Never Stop Manufacturing the Future,” DMG MORI will demonstrate at AMB how productive manufacturing solutions and long-term partnerships enable future-proof production.</w:t>
      </w:r>
    </w:p>
    <w:p w14:paraId="04F1CB7A" w14:textId="77777777" w:rsidR="00D67734" w:rsidRPr="004B12D8" w:rsidRDefault="00D67734"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670A256D" w14:textId="77777777" w:rsidR="00D67734" w:rsidRPr="004B12D8" w:rsidRDefault="00D67734"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4EA5590D" w14:textId="77777777" w:rsidR="00D67734" w:rsidRPr="004B12D8" w:rsidRDefault="00D67734" w:rsidP="001906A8">
      <w:pPr>
        <w:autoSpaceDE w:val="0"/>
        <w:autoSpaceDN w:val="0"/>
        <w:adjustRightInd w:val="0"/>
        <w:spacing w:after="40" w:line="269" w:lineRule="auto"/>
        <w:ind w:right="-7"/>
        <w:jc w:val="both"/>
        <w:rPr>
          <w:rFonts w:ascii="Arial" w:eastAsia="MS Mincho" w:hAnsi="Arial" w:cs="Arial"/>
          <w:b/>
          <w:color w:val="000000" w:themeColor="text1"/>
          <w:sz w:val="16"/>
          <w:szCs w:val="18"/>
        </w:rPr>
      </w:pPr>
    </w:p>
    <w:p w14:paraId="6DBA2D9A" w14:textId="31127363" w:rsidR="001906A8" w:rsidRPr="00A04467" w:rsidRDefault="006A4E61"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6A4E61">
        <w:rPr>
          <w:rFonts w:ascii="Arial" w:eastAsia="MS Mincho" w:hAnsi="Arial" w:cs="Arial"/>
          <w:b/>
          <w:noProof/>
          <w:color w:val="000000" w:themeColor="text1"/>
          <w:sz w:val="16"/>
          <w:szCs w:val="18"/>
          <w:lang w:val="de-DE"/>
        </w:rPr>
        <w:drawing>
          <wp:inline distT="0" distB="0" distL="0" distR="0" wp14:anchorId="2BE15C5B" wp14:editId="6086C64D">
            <wp:extent cx="4819650" cy="3388418"/>
            <wp:effectExtent l="0" t="0" r="0" b="2540"/>
            <wp:docPr id="12951195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119594" name=""/>
                    <pic:cNvPicPr/>
                  </pic:nvPicPr>
                  <pic:blipFill>
                    <a:blip r:embed="rId11"/>
                    <a:stretch>
                      <a:fillRect/>
                    </a:stretch>
                  </pic:blipFill>
                  <pic:spPr>
                    <a:xfrm>
                      <a:off x="0" y="0"/>
                      <a:ext cx="4824855" cy="3392077"/>
                    </a:xfrm>
                    <a:prstGeom prst="rect">
                      <a:avLst/>
                    </a:prstGeom>
                  </pic:spPr>
                </pic:pic>
              </a:graphicData>
            </a:graphic>
          </wp:inline>
        </w:drawing>
      </w:r>
    </w:p>
    <w:p w14:paraId="795B381E" w14:textId="25D88917" w:rsidR="009B519A" w:rsidRPr="004B12D8" w:rsidRDefault="004B12D8" w:rsidP="001906A8">
      <w:pPr>
        <w:autoSpaceDE w:val="0"/>
        <w:autoSpaceDN w:val="0"/>
        <w:adjustRightInd w:val="0"/>
        <w:spacing w:after="40" w:line="269" w:lineRule="auto"/>
        <w:ind w:right="1835"/>
        <w:rPr>
          <w:rFonts w:ascii="Arial" w:eastAsia="MS Mincho" w:hAnsi="Arial" w:cs="Arial"/>
          <w:color w:val="000000" w:themeColor="text1"/>
          <w:sz w:val="16"/>
          <w:szCs w:val="18"/>
        </w:rPr>
      </w:pPr>
      <w:r w:rsidRPr="004B12D8">
        <w:rPr>
          <w:rFonts w:ascii="Arial" w:eastAsia="MS Mincho" w:hAnsi="Arial" w:cs="Arial"/>
          <w:bCs/>
          <w:color w:val="000000" w:themeColor="text1"/>
          <w:sz w:val="16"/>
          <w:szCs w:val="18"/>
        </w:rPr>
        <w:t>DMG MORI introduces the DMV 160 as a new model in its vertical milling machine lineup. With CELOS and an automation interface included as standard, it offers a cost-effective and scalable entry point into Machining Transformation (MX).</w:t>
      </w:r>
    </w:p>
    <w:p w14:paraId="6F5A1380" w14:textId="77777777" w:rsidR="009B519A" w:rsidRPr="004B12D8" w:rsidRDefault="009B519A" w:rsidP="001906A8">
      <w:pPr>
        <w:autoSpaceDE w:val="0"/>
        <w:autoSpaceDN w:val="0"/>
        <w:adjustRightInd w:val="0"/>
        <w:spacing w:after="40" w:line="269" w:lineRule="auto"/>
        <w:ind w:right="1835"/>
        <w:rPr>
          <w:rFonts w:ascii="Arial" w:eastAsia="MS Mincho" w:hAnsi="Arial" w:cs="Arial"/>
          <w:color w:val="000000" w:themeColor="text1"/>
          <w:sz w:val="16"/>
          <w:szCs w:val="18"/>
        </w:rPr>
      </w:pPr>
    </w:p>
    <w:p w14:paraId="57300EED" w14:textId="4967215C" w:rsidR="009B519A" w:rsidRDefault="00FE0E83" w:rsidP="001906A8">
      <w:pPr>
        <w:autoSpaceDE w:val="0"/>
        <w:autoSpaceDN w:val="0"/>
        <w:adjustRightInd w:val="0"/>
        <w:spacing w:after="40" w:line="269" w:lineRule="auto"/>
        <w:ind w:right="1835"/>
        <w:rPr>
          <w:rFonts w:ascii="Arial" w:eastAsia="MS Mincho" w:hAnsi="Arial" w:cs="Arial"/>
          <w:b/>
          <w:color w:val="000000" w:themeColor="text1"/>
          <w:sz w:val="16"/>
          <w:szCs w:val="18"/>
          <w:lang w:val="de-DE"/>
        </w:rPr>
      </w:pPr>
      <w:r w:rsidRPr="00FE0E83">
        <w:rPr>
          <w:rFonts w:ascii="Arial" w:eastAsia="MS Mincho" w:hAnsi="Arial" w:cs="Arial"/>
          <w:b/>
          <w:noProof/>
          <w:color w:val="000000" w:themeColor="text1"/>
          <w:sz w:val="16"/>
          <w:szCs w:val="18"/>
          <w:lang w:val="de-DE"/>
        </w:rPr>
        <w:lastRenderedPageBreak/>
        <w:drawing>
          <wp:inline distT="0" distB="0" distL="0" distR="0" wp14:anchorId="1477ADAD" wp14:editId="351BD57D">
            <wp:extent cx="4724400" cy="3322495"/>
            <wp:effectExtent l="0" t="0" r="0" b="0"/>
            <wp:docPr id="7732232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223245" name=""/>
                    <pic:cNvPicPr/>
                  </pic:nvPicPr>
                  <pic:blipFill>
                    <a:blip r:embed="rId12"/>
                    <a:stretch>
                      <a:fillRect/>
                    </a:stretch>
                  </pic:blipFill>
                  <pic:spPr>
                    <a:xfrm>
                      <a:off x="0" y="0"/>
                      <a:ext cx="4728001" cy="3325027"/>
                    </a:xfrm>
                    <a:prstGeom prst="rect">
                      <a:avLst/>
                    </a:prstGeom>
                  </pic:spPr>
                </pic:pic>
              </a:graphicData>
            </a:graphic>
          </wp:inline>
        </w:drawing>
      </w:r>
    </w:p>
    <w:p w14:paraId="0D7BDF35" w14:textId="1AB88BAA" w:rsidR="009B519A" w:rsidRDefault="004B12D8" w:rsidP="009B519A">
      <w:pPr>
        <w:autoSpaceDE w:val="0"/>
        <w:autoSpaceDN w:val="0"/>
        <w:adjustRightInd w:val="0"/>
        <w:spacing w:after="40" w:line="269" w:lineRule="auto"/>
        <w:ind w:right="1835"/>
        <w:rPr>
          <w:rFonts w:ascii="Arial" w:eastAsia="MS Mincho" w:hAnsi="Arial" w:cs="Arial"/>
          <w:bCs/>
          <w:color w:val="000000" w:themeColor="text1"/>
          <w:sz w:val="16"/>
          <w:szCs w:val="18"/>
        </w:rPr>
      </w:pPr>
      <w:r w:rsidRPr="004B12D8">
        <w:rPr>
          <w:rFonts w:ascii="Arial" w:eastAsia="MS Mincho" w:hAnsi="Arial" w:cs="Arial"/>
          <w:bCs/>
          <w:color w:val="000000" w:themeColor="text1"/>
          <w:sz w:val="16"/>
          <w:szCs w:val="18"/>
        </w:rPr>
        <w:t>With turn-mill centers such as the 3. Generation NTX 2500, DMG MORI enables efficient 6-side complete machining while also laying the groundwork for the integration of process steps such as grinding.</w:t>
      </w:r>
    </w:p>
    <w:p w14:paraId="7DE820E9" w14:textId="77777777" w:rsidR="00685B2E" w:rsidRPr="004B12D8" w:rsidRDefault="00685B2E" w:rsidP="009B519A">
      <w:pPr>
        <w:autoSpaceDE w:val="0"/>
        <w:autoSpaceDN w:val="0"/>
        <w:adjustRightInd w:val="0"/>
        <w:spacing w:after="40" w:line="269" w:lineRule="auto"/>
        <w:ind w:right="1835"/>
        <w:rPr>
          <w:rFonts w:ascii="Arial" w:eastAsia="MS Mincho" w:hAnsi="Arial" w:cs="Arial"/>
          <w:color w:val="000000" w:themeColor="text1"/>
          <w:sz w:val="16"/>
          <w:szCs w:val="18"/>
        </w:rPr>
      </w:pPr>
    </w:p>
    <w:p w14:paraId="1A79488B" w14:textId="49CF5D0D" w:rsidR="009B519A" w:rsidRDefault="00FC56F3" w:rsidP="009B519A">
      <w:pPr>
        <w:autoSpaceDE w:val="0"/>
        <w:autoSpaceDN w:val="0"/>
        <w:adjustRightInd w:val="0"/>
        <w:spacing w:after="40" w:line="269" w:lineRule="auto"/>
        <w:ind w:right="1835"/>
        <w:rPr>
          <w:rFonts w:ascii="Arial" w:eastAsia="MS Mincho" w:hAnsi="Arial" w:cs="Arial"/>
          <w:bCs/>
          <w:color w:val="000000" w:themeColor="text1"/>
          <w:sz w:val="16"/>
          <w:szCs w:val="18"/>
          <w:lang w:val="de-DE"/>
        </w:rPr>
      </w:pPr>
      <w:r w:rsidRPr="00FC56F3">
        <w:rPr>
          <w:rFonts w:ascii="Arial" w:eastAsia="MS Mincho" w:hAnsi="Arial" w:cs="Arial"/>
          <w:bCs/>
          <w:noProof/>
          <w:color w:val="000000" w:themeColor="text1"/>
          <w:sz w:val="16"/>
          <w:szCs w:val="18"/>
          <w:lang w:val="de-DE"/>
        </w:rPr>
        <w:drawing>
          <wp:inline distT="0" distB="0" distL="0" distR="0" wp14:anchorId="333186E0" wp14:editId="5D5D1794">
            <wp:extent cx="4703028" cy="3319906"/>
            <wp:effectExtent l="0" t="0" r="2540" b="0"/>
            <wp:docPr id="15069544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954422" name=""/>
                    <pic:cNvPicPr/>
                  </pic:nvPicPr>
                  <pic:blipFill>
                    <a:blip r:embed="rId13"/>
                    <a:stretch>
                      <a:fillRect/>
                    </a:stretch>
                  </pic:blipFill>
                  <pic:spPr>
                    <a:xfrm>
                      <a:off x="0" y="0"/>
                      <a:ext cx="4715369" cy="3328617"/>
                    </a:xfrm>
                    <a:prstGeom prst="rect">
                      <a:avLst/>
                    </a:prstGeom>
                  </pic:spPr>
                </pic:pic>
              </a:graphicData>
            </a:graphic>
          </wp:inline>
        </w:drawing>
      </w:r>
    </w:p>
    <w:p w14:paraId="5FDCF156" w14:textId="0E7D1675" w:rsidR="00421A8C" w:rsidRPr="004B12D8" w:rsidRDefault="004B12D8" w:rsidP="009B519A">
      <w:pPr>
        <w:autoSpaceDE w:val="0"/>
        <w:autoSpaceDN w:val="0"/>
        <w:adjustRightInd w:val="0"/>
        <w:spacing w:after="40" w:line="269" w:lineRule="auto"/>
        <w:ind w:right="1835"/>
        <w:rPr>
          <w:rFonts w:ascii="Arial" w:eastAsia="MS Mincho" w:hAnsi="Arial" w:cs="Arial"/>
          <w:color w:val="000000" w:themeColor="text1"/>
          <w:sz w:val="16"/>
          <w:szCs w:val="16"/>
        </w:rPr>
      </w:pPr>
      <w:r w:rsidRPr="004B12D8">
        <w:rPr>
          <w:rFonts w:ascii="Arial" w:eastAsia="MS Mincho" w:hAnsi="Arial" w:cs="Arial"/>
          <w:color w:val="000000" w:themeColor="text1"/>
          <w:sz w:val="16"/>
          <w:szCs w:val="16"/>
        </w:rPr>
        <w:t>In the field of additive manufacturing, DMG MORI is showcasing not only the powder-bed process—in the form of the 3. Generation LASERTEC 30 SLM—but also laser deposition welding on a LASERTEC 65 DED hybrid. The latter combines material deposition via a powder nozzle with 5-axis simultaneous milling within a single working space.</w:t>
      </w:r>
    </w:p>
    <w:p w14:paraId="65060CE5" w14:textId="340939C1" w:rsidR="00421A8C" w:rsidRPr="00586FC9" w:rsidRDefault="005A321A" w:rsidP="00421A8C">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5A321A">
        <w:rPr>
          <w:rFonts w:ascii="Arial" w:eastAsia="MS Mincho" w:hAnsi="Arial" w:cs="Arial"/>
          <w:b/>
          <w:noProof/>
          <w:color w:val="000000" w:themeColor="text1"/>
          <w:sz w:val="16"/>
          <w:szCs w:val="18"/>
          <w:lang w:val="de-DE"/>
        </w:rPr>
        <w:lastRenderedPageBreak/>
        <w:drawing>
          <wp:inline distT="0" distB="0" distL="0" distR="0" wp14:anchorId="60F96885" wp14:editId="7873BAB1">
            <wp:extent cx="4806950" cy="3386907"/>
            <wp:effectExtent l="0" t="0" r="0" b="4445"/>
            <wp:docPr id="12081841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84145" name=""/>
                    <pic:cNvPicPr/>
                  </pic:nvPicPr>
                  <pic:blipFill>
                    <a:blip r:embed="rId14"/>
                    <a:stretch>
                      <a:fillRect/>
                    </a:stretch>
                  </pic:blipFill>
                  <pic:spPr>
                    <a:xfrm>
                      <a:off x="0" y="0"/>
                      <a:ext cx="4818406" cy="3394979"/>
                    </a:xfrm>
                    <a:prstGeom prst="rect">
                      <a:avLst/>
                    </a:prstGeom>
                  </pic:spPr>
                </pic:pic>
              </a:graphicData>
            </a:graphic>
          </wp:inline>
        </w:drawing>
      </w:r>
    </w:p>
    <w:p w14:paraId="6E9C76F1" w14:textId="2373EE11" w:rsidR="00421A8C" w:rsidRPr="008074BB" w:rsidRDefault="008074BB" w:rsidP="009B519A">
      <w:pPr>
        <w:autoSpaceDE w:val="0"/>
        <w:autoSpaceDN w:val="0"/>
        <w:adjustRightInd w:val="0"/>
        <w:spacing w:after="40" w:line="269" w:lineRule="auto"/>
        <w:ind w:right="1835"/>
        <w:rPr>
          <w:rFonts w:ascii="Arial" w:eastAsia="MS Mincho" w:hAnsi="Arial" w:cs="Arial"/>
          <w:color w:val="000000" w:themeColor="text1"/>
          <w:sz w:val="16"/>
          <w:szCs w:val="16"/>
        </w:rPr>
      </w:pPr>
      <w:r w:rsidRPr="008074BB">
        <w:rPr>
          <w:rFonts w:ascii="Arial" w:eastAsia="MS Mincho" w:hAnsi="Arial" w:cs="Arial"/>
          <w:color w:val="000000" w:themeColor="text1"/>
          <w:sz w:val="16"/>
          <w:szCs w:val="18"/>
        </w:rPr>
        <w:t>The MATRIS WPH from DMG MORI is designed to handle both workpieces and pallets.</w:t>
      </w:r>
    </w:p>
    <w:p w14:paraId="05B79FAE" w14:textId="77777777" w:rsidR="009B519A" w:rsidRPr="008074BB" w:rsidRDefault="009B519A" w:rsidP="009B519A">
      <w:pPr>
        <w:autoSpaceDE w:val="0"/>
        <w:autoSpaceDN w:val="0"/>
        <w:adjustRightInd w:val="0"/>
        <w:spacing w:after="40" w:line="269" w:lineRule="auto"/>
        <w:ind w:right="1835"/>
        <w:rPr>
          <w:rFonts w:ascii="Arial" w:eastAsia="MS Mincho" w:hAnsi="Arial" w:cs="Arial"/>
          <w:bCs/>
          <w:color w:val="000000" w:themeColor="text1"/>
          <w:sz w:val="16"/>
          <w:szCs w:val="18"/>
        </w:rPr>
      </w:pPr>
    </w:p>
    <w:p w14:paraId="7342BA7C" w14:textId="77777777" w:rsidR="009B519A" w:rsidRPr="008074BB" w:rsidRDefault="009B519A" w:rsidP="001906A8">
      <w:pPr>
        <w:autoSpaceDE w:val="0"/>
        <w:autoSpaceDN w:val="0"/>
        <w:adjustRightInd w:val="0"/>
        <w:spacing w:after="40" w:line="269" w:lineRule="auto"/>
        <w:ind w:right="1835"/>
        <w:rPr>
          <w:rFonts w:ascii="Arial" w:eastAsia="MS Mincho" w:hAnsi="Arial" w:cs="Arial"/>
          <w:b/>
          <w:color w:val="000000" w:themeColor="text1"/>
          <w:sz w:val="16"/>
          <w:szCs w:val="18"/>
        </w:rPr>
      </w:pPr>
    </w:p>
    <w:p w14:paraId="390589C7" w14:textId="2ECD9F80" w:rsidR="00F15278" w:rsidRDefault="005B0AA7" w:rsidP="32B71FBD">
      <w:pPr>
        <w:autoSpaceDE w:val="0"/>
        <w:autoSpaceDN w:val="0"/>
        <w:adjustRightInd w:val="0"/>
        <w:spacing w:after="40" w:line="269" w:lineRule="auto"/>
        <w:ind w:right="1835"/>
        <w:rPr>
          <w:rFonts w:ascii="Arial" w:eastAsia="MS Mincho" w:hAnsi="Arial" w:cs="Arial"/>
          <w:b/>
          <w:bCs/>
          <w:color w:val="000000" w:themeColor="text1"/>
          <w:sz w:val="16"/>
          <w:szCs w:val="16"/>
          <w:lang w:val="de-DE"/>
        </w:rPr>
      </w:pPr>
      <w:r w:rsidRPr="005B0AA7">
        <w:rPr>
          <w:rFonts w:ascii="Arial" w:eastAsia="MS Mincho" w:hAnsi="Arial" w:cs="Arial"/>
          <w:b/>
          <w:bCs/>
          <w:noProof/>
          <w:color w:val="000000" w:themeColor="text1"/>
          <w:sz w:val="16"/>
          <w:szCs w:val="16"/>
          <w:lang w:val="de-DE"/>
        </w:rPr>
        <w:drawing>
          <wp:inline distT="0" distB="0" distL="0" distR="0" wp14:anchorId="216CB2FD" wp14:editId="77A56758">
            <wp:extent cx="4819650" cy="3379386"/>
            <wp:effectExtent l="0" t="0" r="0" b="0"/>
            <wp:docPr id="14956030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603045" name=""/>
                    <pic:cNvPicPr/>
                  </pic:nvPicPr>
                  <pic:blipFill>
                    <a:blip r:embed="rId15"/>
                    <a:stretch>
                      <a:fillRect/>
                    </a:stretch>
                  </pic:blipFill>
                  <pic:spPr>
                    <a:xfrm>
                      <a:off x="0" y="0"/>
                      <a:ext cx="4828200" cy="3385381"/>
                    </a:xfrm>
                    <a:prstGeom prst="rect">
                      <a:avLst/>
                    </a:prstGeom>
                  </pic:spPr>
                </pic:pic>
              </a:graphicData>
            </a:graphic>
          </wp:inline>
        </w:drawing>
      </w:r>
    </w:p>
    <w:p w14:paraId="33244099" w14:textId="7BFFF653" w:rsidR="008906A3" w:rsidRPr="008074BB" w:rsidRDefault="008074BB" w:rsidP="00F15278">
      <w:pPr>
        <w:autoSpaceDE w:val="0"/>
        <w:autoSpaceDN w:val="0"/>
        <w:adjustRightInd w:val="0"/>
        <w:spacing w:after="40" w:line="269" w:lineRule="auto"/>
        <w:ind w:right="1835"/>
        <w:rPr>
          <w:rFonts w:ascii="Arial" w:eastAsia="MS Mincho" w:hAnsi="Arial" w:cs="Arial"/>
          <w:bCs/>
          <w:color w:val="000000" w:themeColor="text1"/>
          <w:sz w:val="16"/>
          <w:szCs w:val="18"/>
        </w:rPr>
      </w:pPr>
      <w:r w:rsidRPr="008074BB">
        <w:rPr>
          <w:rFonts w:ascii="Arial" w:eastAsia="MS Mincho" w:hAnsi="Arial" w:cs="Arial"/>
          <w:bCs/>
          <w:color w:val="000000" w:themeColor="text1"/>
          <w:sz w:val="16"/>
          <w:szCs w:val="18"/>
        </w:rPr>
        <w:t xml:space="preserve">At AMB, the Application Turning Cycle (ATC) and the Machine Protection Control (MPC 2.0) shown here will be available on demand as technology cycles for all machines from the DMG MORI plant in </w:t>
      </w:r>
      <w:proofErr w:type="spellStart"/>
      <w:r w:rsidRPr="008074BB">
        <w:rPr>
          <w:rFonts w:ascii="Arial" w:eastAsia="MS Mincho" w:hAnsi="Arial" w:cs="Arial"/>
          <w:bCs/>
          <w:color w:val="000000" w:themeColor="text1"/>
          <w:sz w:val="16"/>
          <w:szCs w:val="18"/>
        </w:rPr>
        <w:t>Pfronten</w:t>
      </w:r>
      <w:proofErr w:type="spellEnd"/>
      <w:r w:rsidRPr="008074BB">
        <w:rPr>
          <w:rFonts w:ascii="Arial" w:eastAsia="MS Mincho" w:hAnsi="Arial" w:cs="Arial"/>
          <w:bCs/>
          <w:color w:val="000000" w:themeColor="text1"/>
          <w:sz w:val="16"/>
          <w:szCs w:val="18"/>
        </w:rPr>
        <w:t>.</w:t>
      </w:r>
    </w:p>
    <w:p w14:paraId="5AC53BE1" w14:textId="77777777" w:rsidR="008906A3" w:rsidRPr="008074BB" w:rsidRDefault="008906A3" w:rsidP="00F15278">
      <w:pPr>
        <w:autoSpaceDE w:val="0"/>
        <w:autoSpaceDN w:val="0"/>
        <w:adjustRightInd w:val="0"/>
        <w:spacing w:after="40" w:line="269" w:lineRule="auto"/>
        <w:ind w:right="1835"/>
        <w:rPr>
          <w:rFonts w:ascii="Arial" w:eastAsia="MS Mincho" w:hAnsi="Arial" w:cs="Arial"/>
          <w:bCs/>
          <w:color w:val="000000" w:themeColor="text1"/>
          <w:sz w:val="16"/>
          <w:szCs w:val="18"/>
        </w:rPr>
      </w:pPr>
    </w:p>
    <w:p w14:paraId="07B708DF" w14:textId="77777777" w:rsidR="001E0EB3" w:rsidRPr="00A5109A" w:rsidRDefault="001E0EB3" w:rsidP="001E0EB3">
      <w:pPr>
        <w:autoSpaceDE w:val="0"/>
        <w:autoSpaceDN w:val="0"/>
        <w:adjustRightInd w:val="0"/>
        <w:spacing w:after="40" w:line="269" w:lineRule="auto"/>
        <w:ind w:right="1977"/>
        <w:jc w:val="both"/>
        <w:rPr>
          <w:rFonts w:ascii="Arial" w:eastAsia="MS Mincho" w:hAnsi="Arial" w:cs="Arial"/>
          <w:b/>
          <w:color w:val="000000" w:themeColor="text1"/>
          <w:sz w:val="16"/>
          <w:szCs w:val="18"/>
        </w:rPr>
      </w:pPr>
      <w:r w:rsidRPr="00A5109A">
        <w:rPr>
          <w:rFonts w:ascii="Arial" w:eastAsia="MS Mincho" w:hAnsi="Arial" w:cs="Arial"/>
          <w:b/>
          <w:color w:val="000000" w:themeColor="text1"/>
          <w:sz w:val="16"/>
          <w:szCs w:val="18"/>
        </w:rPr>
        <w:lastRenderedPageBreak/>
        <w:t xml:space="preserve">Company Profile // DMG MORI </w:t>
      </w:r>
    </w:p>
    <w:p w14:paraId="13DC1746" w14:textId="77777777" w:rsidR="001E0EB3" w:rsidRDefault="001E0EB3" w:rsidP="001E0EB3">
      <w:pPr>
        <w:spacing w:after="40" w:line="269" w:lineRule="auto"/>
        <w:ind w:right="1977"/>
        <w:jc w:val="both"/>
        <w:rPr>
          <w:rFonts w:ascii="Arial" w:eastAsia="MS Mincho" w:hAnsi="Arial" w:cs="Arial"/>
          <w:bCs/>
          <w:color w:val="000000" w:themeColor="text1"/>
          <w:sz w:val="16"/>
          <w:szCs w:val="18"/>
          <w:lang w:eastAsia="de-DE"/>
        </w:rPr>
      </w:pPr>
      <w:r w:rsidRPr="00540530">
        <w:rPr>
          <w:rFonts w:ascii="Arial" w:eastAsia="MS Mincho" w:hAnsi="Arial" w:cs="Arial"/>
          <w:bCs/>
          <w:color w:val="000000" w:themeColor="text1"/>
          <w:sz w:val="16"/>
          <w:szCs w:val="18"/>
          <w:lang w:eastAsia="de-DE"/>
        </w:rPr>
        <w:t xml:space="preserve">DMG MORI is a leading global manufacturer of high-precision machine tools and is represented in </w:t>
      </w:r>
      <w:r>
        <w:rPr>
          <w:rFonts w:ascii="Arial" w:eastAsia="MS Mincho" w:hAnsi="Arial" w:cs="Arial"/>
          <w:bCs/>
          <w:color w:val="000000" w:themeColor="text1"/>
          <w:sz w:val="16"/>
          <w:szCs w:val="18"/>
          <w:lang w:eastAsia="de-DE"/>
        </w:rPr>
        <w:br/>
      </w:r>
      <w:r w:rsidRPr="00540530">
        <w:rPr>
          <w:rFonts w:ascii="Arial" w:eastAsia="MS Mincho" w:hAnsi="Arial" w:cs="Arial"/>
          <w:bCs/>
          <w:color w:val="000000" w:themeColor="text1"/>
          <w:sz w:val="16"/>
          <w:szCs w:val="18"/>
          <w:lang w:eastAsia="de-DE"/>
        </w:rPr>
        <w:t>45 countries with 128 locations, including 18 production plants. In the “Global One Company”, around 13,500 employees are driving the development of holistic solutions in the manufacturing industry. Under the guiding principle of Machining Transformation (MX), DMG MORI combines four pillars for the efficient, sustainable production of the future: Process Integration, Automation, Digital Transformation (DX) and Green Transformation (GX).</w:t>
      </w:r>
    </w:p>
    <w:p w14:paraId="7D759E1C" w14:textId="77777777" w:rsidR="001E0EB3" w:rsidRPr="00540530" w:rsidRDefault="001E0EB3" w:rsidP="001E0EB3">
      <w:pPr>
        <w:spacing w:after="40" w:line="269" w:lineRule="auto"/>
        <w:ind w:right="1977"/>
        <w:jc w:val="both"/>
        <w:rPr>
          <w:rFonts w:ascii="Arial" w:eastAsia="MS Mincho" w:hAnsi="Arial" w:cs="Arial"/>
          <w:bCs/>
          <w:color w:val="000000" w:themeColor="text1"/>
          <w:sz w:val="16"/>
          <w:szCs w:val="18"/>
          <w:lang w:eastAsia="de-DE"/>
        </w:rPr>
      </w:pPr>
    </w:p>
    <w:p w14:paraId="243F9587" w14:textId="77777777" w:rsidR="001E0EB3" w:rsidRDefault="001E0EB3" w:rsidP="001E0EB3">
      <w:pPr>
        <w:spacing w:after="40" w:line="269" w:lineRule="auto"/>
        <w:ind w:right="1977"/>
        <w:jc w:val="both"/>
        <w:rPr>
          <w:rFonts w:ascii="Arial" w:eastAsia="MS Mincho" w:hAnsi="Arial" w:cs="Arial"/>
          <w:bCs/>
          <w:color w:val="000000" w:themeColor="text1"/>
          <w:sz w:val="16"/>
          <w:szCs w:val="18"/>
          <w:lang w:eastAsia="de-DE"/>
        </w:rPr>
      </w:pPr>
      <w:r w:rsidRPr="00540530">
        <w:rPr>
          <w:rFonts w:ascii="Arial" w:eastAsia="MS Mincho" w:hAnsi="Arial" w:cs="Arial"/>
          <w:bCs/>
          <w:color w:val="000000" w:themeColor="text1"/>
          <w:sz w:val="16"/>
          <w:szCs w:val="18"/>
          <w:lang w:eastAsia="de-DE"/>
        </w:rPr>
        <w:t>DMG MORI stands for innovation, quality and precision. Our portfolio covers sustainable manufacturing solutions based on the technologies turning, milling, grinding</w:t>
      </w:r>
      <w:proofErr w:type="gramStart"/>
      <w:r w:rsidRPr="00540530">
        <w:rPr>
          <w:rFonts w:ascii="Arial" w:eastAsia="MS Mincho" w:hAnsi="Arial" w:cs="Arial"/>
          <w:bCs/>
          <w:color w:val="000000" w:themeColor="text1"/>
          <w:sz w:val="16"/>
          <w:szCs w:val="18"/>
          <w:lang w:eastAsia="de-DE"/>
        </w:rPr>
        <w:t>, drilling</w:t>
      </w:r>
      <w:proofErr w:type="gramEnd"/>
      <w:r w:rsidRPr="00540530">
        <w:rPr>
          <w:rFonts w:ascii="Arial" w:eastAsia="MS Mincho" w:hAnsi="Arial" w:cs="Arial"/>
          <w:bCs/>
          <w:color w:val="000000" w:themeColor="text1"/>
          <w:sz w:val="16"/>
          <w:szCs w:val="18"/>
          <w:lang w:eastAsia="de-DE"/>
        </w:rPr>
        <w:t xml:space="preserve"> as well as Ultrasonic, </w:t>
      </w:r>
      <w:proofErr w:type="spellStart"/>
      <w:r w:rsidRPr="00540530">
        <w:rPr>
          <w:rFonts w:ascii="Arial" w:eastAsia="MS Mincho" w:hAnsi="Arial" w:cs="Arial"/>
          <w:bCs/>
          <w:color w:val="000000" w:themeColor="text1"/>
          <w:sz w:val="16"/>
          <w:szCs w:val="18"/>
          <w:lang w:eastAsia="de-DE"/>
        </w:rPr>
        <w:t>Lasertec</w:t>
      </w:r>
      <w:proofErr w:type="spellEnd"/>
      <w:r w:rsidRPr="00540530">
        <w:rPr>
          <w:rFonts w:ascii="Arial" w:eastAsia="MS Mincho" w:hAnsi="Arial" w:cs="Arial"/>
          <w:bCs/>
          <w:color w:val="000000" w:themeColor="text1"/>
          <w:sz w:val="16"/>
          <w:szCs w:val="18"/>
          <w:lang w:eastAsia="de-DE"/>
        </w:rPr>
        <w:t xml:space="preserve"> and additive manufacturing. With technology integration, end-to-end automation and digitization solutions we make it possible to increase productivity and resource efficiency at the same time.</w:t>
      </w:r>
    </w:p>
    <w:p w14:paraId="36583189" w14:textId="77777777" w:rsidR="001E0EB3" w:rsidRPr="00540530" w:rsidRDefault="001E0EB3" w:rsidP="001E0EB3">
      <w:pPr>
        <w:spacing w:after="40" w:line="269" w:lineRule="auto"/>
        <w:ind w:right="1977"/>
        <w:jc w:val="both"/>
        <w:rPr>
          <w:rFonts w:ascii="Arial" w:eastAsia="MS Mincho" w:hAnsi="Arial" w:cs="Arial"/>
          <w:bCs/>
          <w:color w:val="000000" w:themeColor="text1"/>
          <w:sz w:val="16"/>
          <w:szCs w:val="18"/>
          <w:lang w:eastAsia="de-DE"/>
        </w:rPr>
      </w:pPr>
    </w:p>
    <w:p w14:paraId="70713846" w14:textId="77777777" w:rsidR="001E0EB3" w:rsidRDefault="001E0EB3" w:rsidP="001E0EB3">
      <w:pPr>
        <w:spacing w:after="40" w:line="269" w:lineRule="auto"/>
        <w:ind w:right="1977"/>
        <w:jc w:val="both"/>
        <w:rPr>
          <w:rFonts w:ascii="Arial" w:eastAsia="MS Mincho" w:hAnsi="Arial" w:cs="Arial"/>
          <w:bCs/>
          <w:color w:val="000000" w:themeColor="text1"/>
          <w:sz w:val="16"/>
          <w:szCs w:val="18"/>
          <w:lang w:eastAsia="de-DE"/>
        </w:rPr>
      </w:pPr>
      <w:r w:rsidRPr="00540530">
        <w:rPr>
          <w:rFonts w:ascii="Arial" w:eastAsia="MS Mincho" w:hAnsi="Arial" w:cs="Arial"/>
          <w:bCs/>
          <w:color w:val="000000" w:themeColor="text1"/>
          <w:sz w:val="16"/>
          <w:szCs w:val="18"/>
          <w:lang w:eastAsia="de-DE"/>
        </w:rPr>
        <w:t>At our production sites worldwide, we realize holistic turnkey solutions for the main sectors of Aviation &amp; Space, Data &amp; Semiconductor, Die &amp; Mold, Mobility, and Medical. With the DMG MORI Qualified Products (DMQP) partner program, we offer perfectly matched peripheral products from a single source. Our customer-oriented offerings cover the entire life cycle of a machine tool – including training, repair, maintenance and spare parts service.</w:t>
      </w:r>
    </w:p>
    <w:p w14:paraId="4288B7A9" w14:textId="77777777" w:rsidR="001E0EB3" w:rsidRPr="00241383" w:rsidRDefault="001E0EB3" w:rsidP="001E0EB3">
      <w:pPr>
        <w:spacing w:after="40" w:line="269" w:lineRule="auto"/>
        <w:ind w:right="1977"/>
        <w:jc w:val="both"/>
        <w:rPr>
          <w:rFonts w:ascii="Arial" w:eastAsia="MS Mincho" w:hAnsi="Arial" w:cs="Arial"/>
          <w:bCs/>
          <w:color w:val="000000" w:themeColor="text1"/>
          <w:sz w:val="16"/>
          <w:szCs w:val="18"/>
          <w:lang w:eastAsia="de-DE"/>
        </w:rPr>
      </w:pPr>
    </w:p>
    <w:p w14:paraId="11FAAD55" w14:textId="77777777" w:rsidR="001E0EB3" w:rsidRPr="00307CE3" w:rsidRDefault="001E0EB3" w:rsidP="001E0EB3">
      <w:pPr>
        <w:spacing w:after="40" w:line="269" w:lineRule="auto"/>
        <w:ind w:right="1977"/>
      </w:pPr>
      <w:r w:rsidRPr="00307CE3">
        <w:rPr>
          <w:rFonts w:ascii="Arial" w:hAnsi="Arial"/>
          <w:i/>
          <w:sz w:val="16"/>
          <w:szCs w:val="16"/>
        </w:rPr>
        <w:t xml:space="preserve">DMG MORI EMEA Holding GmbH </w:t>
      </w:r>
      <w:r w:rsidRPr="00307CE3">
        <w:rPr>
          <w:rFonts w:ascii="Arial" w:hAnsi="Arial"/>
          <w:i/>
          <w:iCs/>
          <w:sz w:val="16"/>
          <w:szCs w:val="16"/>
        </w:rPr>
        <w:t>| Walter-Gropius-Str. 7 | 80807 Munich</w:t>
      </w:r>
      <w:r w:rsidRPr="00307CE3">
        <w:rPr>
          <w:i/>
        </w:rPr>
        <w:br/>
      </w:r>
      <w:r w:rsidRPr="00307CE3">
        <w:rPr>
          <w:rFonts w:ascii="Arial" w:hAnsi="Arial" w:cs="Arial"/>
          <w:i/>
          <w:sz w:val="16"/>
          <w:szCs w:val="16"/>
        </w:rPr>
        <w:t>Managing Director</w:t>
      </w:r>
      <w:r w:rsidRPr="00307CE3">
        <w:rPr>
          <w:rFonts w:ascii="Arial" w:hAnsi="Arial"/>
          <w:i/>
          <w:sz w:val="16"/>
          <w:szCs w:val="16"/>
        </w:rPr>
        <w:t xml:space="preserve">s: </w:t>
      </w:r>
      <w:proofErr w:type="spellStart"/>
      <w:r w:rsidRPr="00307CE3">
        <w:rPr>
          <w:rFonts w:ascii="Arial" w:hAnsi="Arial"/>
          <w:i/>
          <w:sz w:val="16"/>
          <w:szCs w:val="16"/>
        </w:rPr>
        <w:t>Hirotake</w:t>
      </w:r>
      <w:proofErr w:type="spellEnd"/>
      <w:r w:rsidRPr="00307CE3">
        <w:rPr>
          <w:rFonts w:ascii="Arial" w:hAnsi="Arial"/>
          <w:i/>
          <w:sz w:val="16"/>
          <w:szCs w:val="16"/>
        </w:rPr>
        <w:t xml:space="preserve"> Kobayashi</w:t>
      </w:r>
      <w:r>
        <w:rPr>
          <w:rFonts w:ascii="Arial" w:hAnsi="Arial"/>
          <w:i/>
          <w:sz w:val="16"/>
          <w:szCs w:val="16"/>
        </w:rPr>
        <w:t>;</w:t>
      </w:r>
      <w:r w:rsidRPr="00307CE3">
        <w:rPr>
          <w:rFonts w:ascii="Arial" w:hAnsi="Arial"/>
          <w:i/>
          <w:sz w:val="16"/>
          <w:szCs w:val="16"/>
        </w:rPr>
        <w:t xml:space="preserve"> James Nudo,</w:t>
      </w:r>
      <w:r>
        <w:rPr>
          <w:rFonts w:ascii="Arial" w:hAnsi="Arial"/>
          <w:i/>
          <w:sz w:val="16"/>
          <w:szCs w:val="16"/>
        </w:rPr>
        <w:t xml:space="preserve"> J.D.;</w:t>
      </w:r>
      <w:r w:rsidRPr="00307CE3">
        <w:rPr>
          <w:rFonts w:ascii="Arial" w:hAnsi="Arial"/>
          <w:i/>
          <w:sz w:val="16"/>
          <w:szCs w:val="16"/>
        </w:rPr>
        <w:t xml:space="preserve"> Dr. Irene Bader</w:t>
      </w:r>
      <w:r>
        <w:rPr>
          <w:rFonts w:ascii="Arial" w:hAnsi="Arial"/>
          <w:i/>
          <w:sz w:val="16"/>
          <w:szCs w:val="16"/>
        </w:rPr>
        <w:t>;</w:t>
      </w:r>
      <w:r w:rsidRPr="00307CE3">
        <w:rPr>
          <w:rFonts w:ascii="Arial" w:hAnsi="Arial"/>
          <w:i/>
          <w:sz w:val="16"/>
          <w:szCs w:val="16"/>
        </w:rPr>
        <w:t xml:space="preserve"> Rajeev Anand</w:t>
      </w:r>
      <w:r>
        <w:rPr>
          <w:rFonts w:ascii="Arial" w:hAnsi="Arial"/>
          <w:i/>
          <w:sz w:val="16"/>
          <w:szCs w:val="16"/>
        </w:rPr>
        <w:t>;</w:t>
      </w:r>
      <w:r w:rsidRPr="00307CE3">
        <w:rPr>
          <w:rFonts w:ascii="Arial" w:hAnsi="Arial"/>
          <w:i/>
          <w:sz w:val="16"/>
          <w:szCs w:val="16"/>
        </w:rPr>
        <w:t xml:space="preserve"> </w:t>
      </w:r>
      <w:r w:rsidRPr="00307CE3">
        <w:rPr>
          <w:rFonts w:ascii="Arial" w:hAnsi="Arial"/>
          <w:i/>
          <w:sz w:val="16"/>
          <w:szCs w:val="16"/>
        </w:rPr>
        <w:br/>
        <w:t>Ralf Riedemann</w:t>
      </w:r>
      <w:r>
        <w:rPr>
          <w:rFonts w:ascii="Arial" w:hAnsi="Arial"/>
          <w:i/>
          <w:sz w:val="16"/>
          <w:szCs w:val="16"/>
        </w:rPr>
        <w:t>;</w:t>
      </w:r>
      <w:r w:rsidRPr="00307CE3">
        <w:rPr>
          <w:rFonts w:ascii="Arial" w:hAnsi="Arial"/>
          <w:i/>
          <w:sz w:val="16"/>
          <w:szCs w:val="16"/>
        </w:rPr>
        <w:t xml:space="preserve"> Yosuke Nakatsukasa</w:t>
      </w:r>
      <w:r w:rsidRPr="00307CE3">
        <w:rPr>
          <w:rFonts w:ascii="Arial" w:hAnsi="Arial"/>
          <w:i/>
          <w:sz w:val="16"/>
          <w:szCs w:val="16"/>
        </w:rPr>
        <w:br/>
        <w:t>Phone number: +49 89248835900</w:t>
      </w:r>
      <w:r w:rsidRPr="00307CE3">
        <w:rPr>
          <w:rFonts w:ascii="Arial" w:hAnsi="Arial"/>
          <w:i/>
          <w:sz w:val="16"/>
          <w:szCs w:val="16"/>
        </w:rPr>
        <w:br/>
        <w:t>Data protection: DMG MORI EMEA Holding GmbH</w:t>
      </w:r>
    </w:p>
    <w:p w14:paraId="3025B7E1" w14:textId="412D738F" w:rsidR="00FD4092" w:rsidRPr="00636809" w:rsidRDefault="00FD4092" w:rsidP="001E0EB3">
      <w:pPr>
        <w:autoSpaceDE w:val="0"/>
        <w:autoSpaceDN w:val="0"/>
        <w:adjustRightInd w:val="0"/>
        <w:spacing w:after="40" w:line="269" w:lineRule="auto"/>
        <w:ind w:right="1835"/>
      </w:pPr>
    </w:p>
    <w:sectPr w:rsidR="00FD4092" w:rsidRPr="00636809" w:rsidSect="00BC4B8D">
      <w:headerReference w:type="default" r:id="rId16"/>
      <w:pgSz w:w="11906" w:h="16838"/>
      <w:pgMar w:top="3261"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84A712" w14:textId="77777777" w:rsidR="00DF6047" w:rsidRDefault="00DF6047" w:rsidP="003F4354">
      <w:pPr>
        <w:spacing w:after="0" w:line="240" w:lineRule="auto"/>
      </w:pPr>
      <w:r>
        <w:separator/>
      </w:r>
    </w:p>
  </w:endnote>
  <w:endnote w:type="continuationSeparator" w:id="0">
    <w:p w14:paraId="01FB816D" w14:textId="77777777" w:rsidR="00DF6047" w:rsidRDefault="00DF6047" w:rsidP="003F4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mpatilFactLTPro-Rg">
    <w:altName w:val="Cambria"/>
    <w:panose1 w:val="00000000000000000000"/>
    <w:charset w:val="4D"/>
    <w:family w:val="swiss"/>
    <w:notTrueType/>
    <w:pitch w:val="variable"/>
    <w:sig w:usb0="00000003" w:usb1="00000000" w:usb2="00000000" w:usb3="00000000" w:csb0="00000093" w:csb1="00000000"/>
  </w:font>
  <w:font w:name="Aptos">
    <w:charset w:val="00"/>
    <w:family w:val="swiss"/>
    <w:pitch w:val="variable"/>
    <w:sig w:usb0="20000287" w:usb1="00000003" w:usb2="00000000" w:usb3="00000000" w:csb0="0000019F" w:csb1="00000000"/>
  </w:font>
  <w:font w:name="Compatil Fact LT Pro">
    <w:altName w:val="Cambria"/>
    <w:panose1 w:val="00000000000000000000"/>
    <w:charset w:val="00"/>
    <w:family w:val="modern"/>
    <w:notTrueType/>
    <w:pitch w:val="variable"/>
    <w:sig w:usb0="800000AF" w:usb1="5000204A" w:usb2="00000000" w:usb3="00000000" w:csb0="0000009B"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mpatilFactLTPro-Bd">
    <w:altName w:val="Calibri"/>
    <w:charset w:val="4D"/>
    <w:family w:val="swiss"/>
    <w:pitch w:val="variable"/>
    <w:sig w:usb0="00000003" w:usb1="00000000" w:usb2="00000000" w:usb3="00000000" w:csb0="00000093" w:csb1="00000000"/>
  </w:font>
  <w:font w:name="Arial Fett">
    <w:altName w:val="Arial"/>
    <w:panose1 w:val="020B0704020202020204"/>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849868" w14:textId="77777777" w:rsidR="00DF6047" w:rsidRDefault="00DF6047" w:rsidP="003F4354">
      <w:pPr>
        <w:spacing w:after="0" w:line="240" w:lineRule="auto"/>
      </w:pPr>
      <w:r>
        <w:separator/>
      </w:r>
    </w:p>
  </w:footnote>
  <w:footnote w:type="continuationSeparator" w:id="0">
    <w:p w14:paraId="6A20F21D" w14:textId="77777777" w:rsidR="00DF6047" w:rsidRDefault="00DF6047" w:rsidP="003F43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E7E65" w14:textId="77777777" w:rsidR="003F4354" w:rsidRPr="003F4354" w:rsidRDefault="003F4354" w:rsidP="003F4354">
    <w:pPr>
      <w:pStyle w:val="EinfAbs"/>
      <w:tabs>
        <w:tab w:val="left" w:pos="1590"/>
        <w:tab w:val="left" w:pos="3240"/>
        <w:tab w:val="left" w:pos="5895"/>
      </w:tabs>
      <w:spacing w:after="11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pPr>
    <w:bookmarkStart w:id="1" w:name="_Hlk141089219"/>
    <w:bookmarkStart w:id="2" w:name="_Hlk141089220"/>
    <w:r>
      <w:rPr>
        <w:noProof/>
      </w:rPr>
      <w:drawing>
        <wp:anchor distT="0" distB="0" distL="114300" distR="114300" simplePos="0" relativeHeight="251658245" behindDoc="1" locked="0" layoutInCell="1" allowOverlap="1" wp14:anchorId="60B10372" wp14:editId="01DE0954">
          <wp:simplePos x="0" y="0"/>
          <wp:positionH relativeFrom="margin">
            <wp:align>left</wp:align>
          </wp:positionH>
          <wp:positionV relativeFrom="paragraph">
            <wp:posOffset>6985</wp:posOffset>
          </wp:positionV>
          <wp:extent cx="2641600" cy="281940"/>
          <wp:effectExtent l="0" t="0" r="6350" b="3810"/>
          <wp:wrapTight wrapText="bothSides">
            <wp:wrapPolygon edited="0">
              <wp:start x="0" y="0"/>
              <wp:lineTo x="0" y="20432"/>
              <wp:lineTo x="21496" y="20432"/>
              <wp:lineTo x="21496" y="0"/>
              <wp:lineTo x="0" y="0"/>
            </wp:wrapPolygon>
          </wp:wrapTight>
          <wp:docPr id="1999133078" name="Picture 121833651">
            <a:extLst xmlns:a="http://schemas.openxmlformats.org/drawingml/2006/main">
              <a:ext uri="{FF2B5EF4-FFF2-40B4-BE49-F238E27FC236}">
                <a16:creationId xmlns:a16="http://schemas.microsoft.com/office/drawing/2014/main" id="{9D49FA24-F9C6-40BB-95DF-454847723A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45061" cy="282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t xml:space="preserve"> </w:t>
    </w:r>
    <w:r>
      <w:rPr>
        <w:noProof/>
        <w:lang w:eastAsia="de-DE"/>
      </w:rPr>
      <mc:AlternateContent>
        <mc:Choice Requires="wps">
          <w:drawing>
            <wp:anchor distT="0" distB="0" distL="114300" distR="114300" simplePos="0" relativeHeight="251658241" behindDoc="0" locked="0" layoutInCell="1" allowOverlap="1" wp14:anchorId="3E1897FC" wp14:editId="508B686E">
              <wp:simplePos x="0" y="0"/>
              <wp:positionH relativeFrom="margin">
                <wp:posOffset>3604260</wp:posOffset>
              </wp:positionH>
              <wp:positionV relativeFrom="paragraph">
                <wp:posOffset>35560</wp:posOffset>
              </wp:positionV>
              <wp:extent cx="2511425" cy="390525"/>
              <wp:effectExtent l="0" t="0" r="3175" b="9525"/>
              <wp:wrapNone/>
              <wp:docPr id="1524393184" name="Text Box 1524393184">
                <a:extLst xmlns:a="http://schemas.openxmlformats.org/drawingml/2006/main">
                  <a:ext uri="{FF2B5EF4-FFF2-40B4-BE49-F238E27FC236}">
                    <a16:creationId xmlns:a16="http://schemas.microsoft.com/office/drawing/2014/main" id="{4A58C8AE-C38B-48A3-A302-F1907CC70ED2}"/>
                  </a:ext>
                </a:extLst>
              </wp:docPr>
              <wp:cNvGraphicFramePr/>
              <a:graphic xmlns:a="http://schemas.openxmlformats.org/drawingml/2006/main">
                <a:graphicData uri="http://schemas.microsoft.com/office/word/2010/wordprocessingShape">
                  <wps:wsp>
                    <wps:cNvSpPr txBox="1"/>
                    <wps:spPr>
                      <a:xfrm>
                        <a:off x="0" y="0"/>
                        <a:ext cx="2511425" cy="390525"/>
                      </a:xfrm>
                      <a:prstGeom prst="rect">
                        <a:avLst/>
                      </a:prstGeom>
                      <a:noFill/>
                      <a:ln w="6350">
                        <a:noFill/>
                      </a:ln>
                      <a:effectLst/>
                    </wps:spPr>
                    <wps:txbx>
                      <w:txbxContent>
                        <w:p w14:paraId="48E4792C" w14:textId="6347471F" w:rsidR="003F4354" w:rsidRPr="001054D5" w:rsidRDefault="006311BD"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 release</w:t>
                          </w:r>
                        </w:p>
                        <w:p w14:paraId="00097B22" w14:textId="77135F3E" w:rsidR="003F4354" w:rsidRPr="00092E73" w:rsidRDefault="00A738E1" w:rsidP="003F4354">
                          <w:pPr>
                            <w:pStyle w:val="EinfAbs"/>
                            <w:spacing w:line="276" w:lineRule="auto"/>
                            <w:jc w:val="right"/>
                            <w:rPr>
                              <w:rFonts w:ascii="Arial" w:hAnsi="Arial" w:cs="Arial"/>
                              <w:color w:val="4C4C4C"/>
                              <w:spacing w:val="1"/>
                              <w:sz w:val="16"/>
                              <w:szCs w:val="16"/>
                            </w:rPr>
                          </w:pPr>
                          <w:r w:rsidRPr="001054D5">
                            <w:rPr>
                              <w:rFonts w:ascii="Arial" w:hAnsi="Arial" w:cs="Arial"/>
                              <w:color w:val="4C4C4C"/>
                              <w:spacing w:val="1"/>
                              <w:sz w:val="16"/>
                              <w:szCs w:val="16"/>
                            </w:rPr>
                            <w:t>09</w:t>
                          </w:r>
                          <w:r w:rsidR="003F4354" w:rsidRPr="001054D5">
                            <w:rPr>
                              <w:rFonts w:ascii="Arial" w:hAnsi="Arial" w:cs="Arial"/>
                              <w:color w:val="4C4C4C"/>
                              <w:spacing w:val="1"/>
                              <w:sz w:val="16"/>
                              <w:szCs w:val="16"/>
                            </w:rPr>
                            <w:t>.0</w:t>
                          </w:r>
                          <w:r w:rsidRPr="001054D5">
                            <w:rPr>
                              <w:rFonts w:ascii="Arial" w:hAnsi="Arial" w:cs="Arial"/>
                              <w:color w:val="4C4C4C"/>
                              <w:spacing w:val="1"/>
                              <w:sz w:val="16"/>
                              <w:szCs w:val="16"/>
                            </w:rPr>
                            <w:t>7</w:t>
                          </w:r>
                          <w:r w:rsidR="003F4354" w:rsidRPr="001054D5">
                            <w:rPr>
                              <w:rFonts w:ascii="Arial" w:hAnsi="Arial" w:cs="Arial"/>
                              <w:color w:val="4C4C4C"/>
                              <w:spacing w:val="1"/>
                              <w:sz w:val="16"/>
                              <w:szCs w:val="16"/>
                            </w:rPr>
                            <w:t>.202</w:t>
                          </w:r>
                          <w:r w:rsidR="00D75E18" w:rsidRPr="001054D5">
                            <w:rPr>
                              <w:rFonts w:ascii="Arial" w:hAnsi="Arial" w:cs="Arial"/>
                              <w:color w:val="4C4C4C"/>
                              <w:spacing w:val="1"/>
                              <w:sz w:val="16"/>
                              <w:szCs w:val="16"/>
                            </w:rPr>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97FC" id="_x0000_t202" coordsize="21600,21600" o:spt="202" path="m,l,21600r21600,l21600,xe">
              <v:stroke joinstyle="miter"/>
              <v:path gradientshapeok="t" o:connecttype="rect"/>
            </v:shapetype>
            <v:shape id="Text Box 1524393184" o:spid="_x0000_s1026" type="#_x0000_t202" style="position:absolute;margin-left:283.8pt;margin-top:2.8pt;width:197.75pt;height:30.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" filled="f" stroked="f" strokeweight=".5pt">
              <v:textbox inset="0,0,0,0">
                <w:txbxContent>
                  <w:p w14:paraId="48E4792C" w14:textId="6347471F" w:rsidR="003F4354" w:rsidRPr="001054D5" w:rsidRDefault="006311BD"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 release</w:t>
                    </w:r>
                  </w:p>
                  <w:p w14:paraId="00097B22" w14:textId="77135F3E" w:rsidR="003F4354" w:rsidRPr="00092E73" w:rsidRDefault="00A738E1" w:rsidP="003F4354">
                    <w:pPr>
                      <w:pStyle w:val="EinfAbs"/>
                      <w:spacing w:line="276" w:lineRule="auto"/>
                      <w:jc w:val="right"/>
                      <w:rPr>
                        <w:rFonts w:ascii="Arial" w:hAnsi="Arial" w:cs="Arial"/>
                        <w:color w:val="4C4C4C"/>
                        <w:spacing w:val="1"/>
                        <w:sz w:val="16"/>
                        <w:szCs w:val="16"/>
                      </w:rPr>
                    </w:pPr>
                    <w:r w:rsidRPr="001054D5">
                      <w:rPr>
                        <w:rFonts w:ascii="Arial" w:hAnsi="Arial" w:cs="Arial"/>
                        <w:color w:val="4C4C4C"/>
                        <w:spacing w:val="1"/>
                        <w:sz w:val="16"/>
                        <w:szCs w:val="16"/>
                      </w:rPr>
                      <w:t>09</w:t>
                    </w:r>
                    <w:r w:rsidR="003F4354" w:rsidRPr="001054D5">
                      <w:rPr>
                        <w:rFonts w:ascii="Arial" w:hAnsi="Arial" w:cs="Arial"/>
                        <w:color w:val="4C4C4C"/>
                        <w:spacing w:val="1"/>
                        <w:sz w:val="16"/>
                        <w:szCs w:val="16"/>
                      </w:rPr>
                      <w:t>.0</w:t>
                    </w:r>
                    <w:r w:rsidRPr="001054D5">
                      <w:rPr>
                        <w:rFonts w:ascii="Arial" w:hAnsi="Arial" w:cs="Arial"/>
                        <w:color w:val="4C4C4C"/>
                        <w:spacing w:val="1"/>
                        <w:sz w:val="16"/>
                        <w:szCs w:val="16"/>
                      </w:rPr>
                      <w:t>7</w:t>
                    </w:r>
                    <w:r w:rsidR="003F4354" w:rsidRPr="001054D5">
                      <w:rPr>
                        <w:rFonts w:ascii="Arial" w:hAnsi="Arial" w:cs="Arial"/>
                        <w:color w:val="4C4C4C"/>
                        <w:spacing w:val="1"/>
                        <w:sz w:val="16"/>
                        <w:szCs w:val="16"/>
                      </w:rPr>
                      <w:t>.202</w:t>
                    </w:r>
                    <w:r w:rsidR="00D75E18" w:rsidRPr="001054D5">
                      <w:rPr>
                        <w:rFonts w:ascii="Arial" w:hAnsi="Arial" w:cs="Arial"/>
                        <w:color w:val="4C4C4C"/>
                        <w:spacing w:val="1"/>
                        <w:sz w:val="16"/>
                        <w:szCs w:val="16"/>
                      </w:rPr>
                      <w:t>6</w:t>
                    </w:r>
                  </w:p>
                </w:txbxContent>
              </v:textbox>
              <w10:wrap anchorx="margin"/>
            </v:shape>
          </w:pict>
        </mc:Fallback>
      </mc:AlternateContent>
    </w:r>
    <w:r w:rsidRPr="003F4354">
      <w:rPr>
        <w:rFonts w:ascii="CompatilFactLTPro-Bd" w:hAnsi="CompatilFactLTPro-Bd" w:cs="CompatilFactLTPro-Bd"/>
        <w:b/>
        <w:bCs/>
        <w:outline/>
        <w:noProof/>
        <w:spacing w:val="7"/>
        <w:sz w:val="14"/>
        <w:szCs w:val="14"/>
        <w:lang w:eastAsia="de-DE"/>
        <w14:textOutline w14:w="9525" w14:cap="flat" w14:cmpd="sng" w14:algn="ctr">
          <w14:solidFill>
            <w14:srgbClr w14:val="000000"/>
          </w14:solidFill>
          <w14:prstDash w14:val="solid"/>
          <w14:round/>
        </w14:textOutline>
        <w14:textFill>
          <w14:noFill/>
        </w14:textFill>
      </w:rPr>
      <w:drawing>
        <wp:anchor distT="0" distB="0" distL="114300" distR="114300" simplePos="0" relativeHeight="251658240" behindDoc="1" locked="0" layoutInCell="1" allowOverlap="1" wp14:anchorId="0F321230" wp14:editId="6BC2CC15">
          <wp:simplePos x="0" y="0"/>
          <wp:positionH relativeFrom="column">
            <wp:posOffset>6955155</wp:posOffset>
          </wp:positionH>
          <wp:positionV relativeFrom="paragraph">
            <wp:posOffset>-51435</wp:posOffset>
          </wp:positionV>
          <wp:extent cx="7588800" cy="1441260"/>
          <wp:effectExtent l="0" t="0" r="0" b="0"/>
          <wp:wrapNone/>
          <wp:docPr id="1996424490" name="Picture 1597604907" descr="Ein Bild, das Reihe, Screenshot enthält.&#10;&#10;Automatisch generierte Beschreibung">
            <a:extLst xmlns:a="http://schemas.openxmlformats.org/drawingml/2006/main">
              <a:ext uri="{FF2B5EF4-FFF2-40B4-BE49-F238E27FC236}">
                <a16:creationId xmlns:a16="http://schemas.microsoft.com/office/drawing/2014/main" id="{77D0CA21-4C7D-4959-8CF7-311812E22E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04907" name="Picture 1597604907" descr="Ein Bild, das Reihe, Screensho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88800" cy="144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F4354">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3F4354">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3F4354">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p>
  <w:p w14:paraId="5463D27D" w14:textId="77777777" w:rsidR="003F4354" w:rsidRDefault="003F4354" w:rsidP="003F4354">
    <w:pPr>
      <w:pStyle w:val="Kopfzeile"/>
      <w:tabs>
        <w:tab w:val="left" w:pos="3870"/>
        <w:tab w:val="left" w:pos="4350"/>
        <w:tab w:val="center" w:pos="4749"/>
        <w:tab w:val="left" w:pos="5895"/>
      </w:tabs>
    </w:pPr>
    <w:r>
      <w:tab/>
    </w:r>
    <w:r>
      <w:tab/>
    </w:r>
    <w:r>
      <w:tab/>
    </w:r>
    <w:r>
      <w:tab/>
    </w:r>
  </w:p>
  <w:p w14:paraId="148EF189" w14:textId="618285E5" w:rsidR="003F4354" w:rsidRDefault="003F4354" w:rsidP="003F4354">
    <w:pPr>
      <w:tabs>
        <w:tab w:val="left" w:pos="3375"/>
        <w:tab w:val="left" w:pos="4130"/>
        <w:tab w:val="left" w:pos="6210"/>
      </w:tabs>
    </w:pPr>
    <w:r>
      <w:tab/>
    </w:r>
    <w:r>
      <w:tab/>
    </w:r>
    <w:r>
      <w:tab/>
    </w:r>
  </w:p>
  <w:p w14:paraId="4AD4CC5E" w14:textId="77777777" w:rsidR="003F4354" w:rsidRPr="002C1A3D" w:rsidRDefault="003F4354" w:rsidP="003F4354">
    <w:pPr>
      <w:pStyle w:val="Kopfzeile"/>
    </w:pPr>
    <w:r>
      <w:rPr>
        <w:noProof/>
        <w:lang w:eastAsia="de-DE"/>
      </w:rPr>
      <mc:AlternateContent>
        <mc:Choice Requires="wps">
          <w:drawing>
            <wp:anchor distT="0" distB="0" distL="114300" distR="114300" simplePos="0" relativeHeight="251658244" behindDoc="0" locked="0" layoutInCell="1" allowOverlap="1" wp14:anchorId="06F9B7DF" wp14:editId="350F954B">
              <wp:simplePos x="0" y="0"/>
              <wp:positionH relativeFrom="margin">
                <wp:posOffset>2575560</wp:posOffset>
              </wp:positionH>
              <wp:positionV relativeFrom="paragraph">
                <wp:posOffset>342265</wp:posOffset>
              </wp:positionV>
              <wp:extent cx="2130425" cy="304800"/>
              <wp:effectExtent l="0" t="0" r="3175" b="0"/>
              <wp:wrapNone/>
              <wp:docPr id="2128396787" name="Text Box 2128396787">
                <a:extLst xmlns:a="http://schemas.openxmlformats.org/drawingml/2006/main">
                  <a:ext uri="{FF2B5EF4-FFF2-40B4-BE49-F238E27FC236}">
                    <a16:creationId xmlns:a16="http://schemas.microsoft.com/office/drawing/2014/main" id="{8FEA88BD-1AA8-46C0-8F74-AA723175DC9A}"/>
                  </a:ext>
                </a:extLst>
              </wp:docPr>
              <wp:cNvGraphicFramePr/>
              <a:graphic xmlns:a="http://schemas.openxmlformats.org/drawingml/2006/main">
                <a:graphicData uri="http://schemas.microsoft.com/office/word/2010/wordprocessingShape">
                  <wps:wsp>
                    <wps:cNvSpPr txBox="1"/>
                    <wps:spPr>
                      <a:xfrm>
                        <a:off x="0" y="0"/>
                        <a:ext cx="2130425" cy="304800"/>
                      </a:xfrm>
                      <a:prstGeom prst="rect">
                        <a:avLst/>
                      </a:prstGeom>
                      <a:noFill/>
                      <a:ln w="6350">
                        <a:noFill/>
                      </a:ln>
                      <a:effectLst/>
                    </wps:spPr>
                    <wps:txbx>
                      <w:txbxContent>
                        <w:p w14:paraId="611727E9" w14:textId="742FA26F" w:rsidR="003F4354" w:rsidRDefault="00FD59B6" w:rsidP="003F4354">
                          <w:pPr>
                            <w:pStyle w:val="EinfAbs"/>
                            <w:spacing w:line="276" w:lineRule="auto"/>
                            <w:rPr>
                              <w:rFonts w:ascii="Arial" w:hAnsi="Arial" w:cs="Arial"/>
                              <w:color w:val="4C4C4C"/>
                              <w:position w:val="4"/>
                              <w:sz w:val="16"/>
                              <w:szCs w:val="16"/>
                            </w:rPr>
                          </w:pPr>
                          <w:r>
                            <w:rPr>
                              <w:rFonts w:ascii="Arial" w:hAnsi="Arial" w:cs="Arial"/>
                              <w:color w:val="4C4C4C"/>
                              <w:position w:val="4"/>
                              <w:sz w:val="16"/>
                              <w:szCs w:val="16"/>
                            </w:rPr>
                            <w:t>eva.manzenreiter</w:t>
                          </w:r>
                          <w:r w:rsidR="003F4354" w:rsidRPr="00794D1B">
                            <w:rPr>
                              <w:rFonts w:ascii="Arial" w:hAnsi="Arial" w:cs="Arial"/>
                              <w:color w:val="4C4C4C"/>
                              <w:position w:val="4"/>
                              <w:sz w:val="16"/>
                              <w:szCs w:val="16"/>
                            </w:rPr>
                            <w:t>@dmgmori.com</w:t>
                          </w:r>
                        </w:p>
                        <w:p w14:paraId="50630A53" w14:textId="77777777" w:rsidR="003F4354" w:rsidRPr="00092E73" w:rsidRDefault="003F4354" w:rsidP="003F4354">
                          <w:pPr>
                            <w:pStyle w:val="EinfAbs"/>
                            <w:spacing w:line="276" w:lineRule="auto"/>
                            <w:rPr>
                              <w:rFonts w:ascii="Arial" w:hAnsi="Arial" w:cs="Arial"/>
                              <w:color w:val="4C4C4C"/>
                              <w:position w:val="4"/>
                              <w:sz w:val="16"/>
                              <w:szCs w:val="16"/>
                            </w:rPr>
                          </w:pPr>
                          <w:hyperlink r:id="rId3" w:history="1">
                            <w:r w:rsidRPr="00D75E18">
                              <w:rPr>
                                <w:rStyle w:val="Hyperlink"/>
                                <w:rFonts w:ascii="Arial" w:hAnsi="Arial" w:cs="Arial"/>
                                <w:color w:val="595959" w:themeColor="text1" w:themeTint="A6"/>
                                <w:position w:val="2"/>
                                <w:sz w:val="16"/>
                                <w:szCs w:val="16"/>
                              </w:rPr>
                              <w:t>dmgmori.com</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9B7DF" id="Text Box 2128396787" o:spid="_x0000_s1027" type="#_x0000_t202" style="position:absolute;margin-left:202.8pt;margin-top:26.95pt;width:167.75pt;height:24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" filled="f" stroked="f" strokeweight=".5pt">
              <v:textbox inset="0,0,0,0">
                <w:txbxContent>
                  <w:p w14:paraId="611727E9" w14:textId="742FA26F" w:rsidR="003F4354" w:rsidRDefault="00FD59B6" w:rsidP="003F4354">
                    <w:pPr>
                      <w:pStyle w:val="EinfAbs"/>
                      <w:spacing w:line="276" w:lineRule="auto"/>
                      <w:rPr>
                        <w:rFonts w:ascii="Arial" w:hAnsi="Arial" w:cs="Arial"/>
                        <w:color w:val="4C4C4C"/>
                        <w:position w:val="4"/>
                        <w:sz w:val="16"/>
                        <w:szCs w:val="16"/>
                      </w:rPr>
                    </w:pPr>
                    <w:r>
                      <w:rPr>
                        <w:rFonts w:ascii="Arial" w:hAnsi="Arial" w:cs="Arial"/>
                        <w:color w:val="4C4C4C"/>
                        <w:position w:val="4"/>
                        <w:sz w:val="16"/>
                        <w:szCs w:val="16"/>
                      </w:rPr>
                      <w:t>eva.manzenreiter</w:t>
                    </w:r>
                    <w:r w:rsidR="003F4354" w:rsidRPr="00794D1B">
                      <w:rPr>
                        <w:rFonts w:ascii="Arial" w:hAnsi="Arial" w:cs="Arial"/>
                        <w:color w:val="4C4C4C"/>
                        <w:position w:val="4"/>
                        <w:sz w:val="16"/>
                        <w:szCs w:val="16"/>
                      </w:rPr>
                      <w:t>@dmgmori.com</w:t>
                    </w:r>
                  </w:p>
                  <w:p w14:paraId="50630A53" w14:textId="77777777" w:rsidR="003F4354" w:rsidRPr="00092E73" w:rsidRDefault="003F4354" w:rsidP="003F4354">
                    <w:pPr>
                      <w:pStyle w:val="EinfAbs"/>
                      <w:spacing w:line="276" w:lineRule="auto"/>
                      <w:rPr>
                        <w:rFonts w:ascii="Arial" w:hAnsi="Arial" w:cs="Arial"/>
                        <w:color w:val="4C4C4C"/>
                        <w:position w:val="4"/>
                        <w:sz w:val="16"/>
                        <w:szCs w:val="16"/>
                      </w:rPr>
                    </w:pPr>
                    <w:hyperlink r:id="rId4" w:history="1">
                      <w:r w:rsidRPr="00D75E18">
                        <w:rPr>
                          <w:rStyle w:val="Hyperlink"/>
                          <w:rFonts w:ascii="Arial" w:hAnsi="Arial" w:cs="Arial"/>
                          <w:color w:val="595959" w:themeColor="text1" w:themeTint="A6"/>
                          <w:position w:val="2"/>
                          <w:sz w:val="16"/>
                          <w:szCs w:val="16"/>
                        </w:rPr>
                        <w:t>dmgmori.com</w:t>
                      </w:r>
                    </w:hyperlink>
                  </w:p>
                </w:txbxContent>
              </v:textbox>
              <w10:wrap anchorx="margin"/>
            </v:shape>
          </w:pict>
        </mc:Fallback>
      </mc:AlternateContent>
    </w:r>
    <w:r>
      <w:rPr>
        <w:noProof/>
        <w:lang w:eastAsia="de-DE"/>
      </w:rPr>
      <mc:AlternateContent>
        <mc:Choice Requires="wps">
          <w:drawing>
            <wp:anchor distT="0" distB="0" distL="114300" distR="114300" simplePos="0" relativeHeight="251658243" behindDoc="0" locked="0" layoutInCell="1" allowOverlap="1" wp14:anchorId="31DF2953" wp14:editId="59412F24">
              <wp:simplePos x="0" y="0"/>
              <wp:positionH relativeFrom="margin">
                <wp:align>left</wp:align>
              </wp:positionH>
              <wp:positionV relativeFrom="paragraph">
                <wp:posOffset>221615</wp:posOffset>
              </wp:positionV>
              <wp:extent cx="2130425" cy="444500"/>
              <wp:effectExtent l="0" t="0" r="3175" b="12700"/>
              <wp:wrapNone/>
              <wp:docPr id="612613436" name="Text Box 612613436">
                <a:extLst xmlns:a="http://schemas.openxmlformats.org/drawingml/2006/main">
                  <a:ext uri="{FF2B5EF4-FFF2-40B4-BE49-F238E27FC236}">
                    <a16:creationId xmlns:a16="http://schemas.microsoft.com/office/drawing/2014/main" id="{44F970BA-E828-4394-84A0-2CC5CBBB42E2}"/>
                  </a:ext>
                </a:extLst>
              </wp:docPr>
              <wp:cNvGraphicFramePr/>
              <a:graphic xmlns:a="http://schemas.openxmlformats.org/drawingml/2006/main">
                <a:graphicData uri="http://schemas.microsoft.com/office/word/2010/wordprocessingShape">
                  <wps:wsp>
                    <wps:cNvSpPr txBox="1"/>
                    <wps:spPr>
                      <a:xfrm>
                        <a:off x="0" y="0"/>
                        <a:ext cx="2130425" cy="444500"/>
                      </a:xfrm>
                      <a:prstGeom prst="rect">
                        <a:avLst/>
                      </a:prstGeom>
                      <a:noFill/>
                      <a:ln w="6350">
                        <a:noFill/>
                      </a:ln>
                      <a:effectLst/>
                    </wps:spPr>
                    <wps:txbx>
                      <w:txbxContent>
                        <w:p w14:paraId="69DE1898" w14:textId="4F851CCB" w:rsidR="003F4354" w:rsidRPr="00C3200F" w:rsidRDefault="00375F10" w:rsidP="003F435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003F4354"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0FEB2DBF" w14:textId="77777777" w:rsidR="00FF2F0B" w:rsidRPr="00C3200F" w:rsidRDefault="00FF2F0B" w:rsidP="00FF2F0B">
                          <w:pPr>
                            <w:pStyle w:val="EinfAbs"/>
                            <w:tabs>
                              <w:tab w:val="left" w:pos="454"/>
                            </w:tabs>
                            <w:spacing w:line="276" w:lineRule="auto"/>
                            <w:rPr>
                              <w:rFonts w:ascii="Arial" w:hAnsi="Arial" w:cs="Arial"/>
                              <w:color w:val="4C4C4C"/>
                              <w:position w:val="2"/>
                              <w:sz w:val="16"/>
                              <w:szCs w:val="16"/>
                              <w:lang w:val="en-US"/>
                            </w:rPr>
                          </w:pPr>
                          <w:r>
                            <w:rPr>
                              <w:rFonts w:ascii="Arial" w:hAnsi="Arial" w:cs="Arial"/>
                              <w:color w:val="4C4C4C"/>
                              <w:position w:val="2"/>
                              <w:sz w:val="16"/>
                              <w:szCs w:val="16"/>
                              <w:lang w:val="en-US"/>
                            </w:rPr>
                            <w:t>Eva Manzenreiter</w:t>
                          </w:r>
                        </w:p>
                        <w:p w14:paraId="42B71DD4" w14:textId="5C77CC0A" w:rsidR="003F4354" w:rsidRPr="00C3200F" w:rsidRDefault="001E6939" w:rsidP="001E6939">
                          <w:pPr>
                            <w:pStyle w:val="EinfAbs"/>
                            <w:tabs>
                              <w:tab w:val="left" w:pos="454"/>
                            </w:tabs>
                            <w:spacing w:line="276" w:lineRule="auto"/>
                            <w:rPr>
                              <w:rFonts w:ascii="Arial" w:hAnsi="Arial" w:cs="Arial"/>
                              <w:color w:val="4C4C4C"/>
                              <w:position w:val="2"/>
                              <w:sz w:val="16"/>
                              <w:szCs w:val="16"/>
                              <w:lang w:val="en-US"/>
                            </w:rPr>
                          </w:pPr>
                          <w:r w:rsidRPr="001E6939">
                            <w:rPr>
                              <w:rFonts w:ascii="Arial" w:hAnsi="Arial" w:cs="Arial"/>
                              <w:color w:val="4C4C4C"/>
                              <w:position w:val="2"/>
                              <w:sz w:val="16"/>
                              <w:szCs w:val="16"/>
                              <w:lang w:val="en-US"/>
                            </w:rPr>
                            <w:t>DMG MORI EMEA Holding GmbH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DF2953" id="Text Box 612613436" o:spid="_x0000_s1028" type="#_x0000_t202" style="position:absolute;margin-left:0;margin-top:17.45pt;width:167.75pt;height:35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" filled="f" stroked="f" strokeweight=".5pt">
              <v:textbox inset="0,0,0,0">
                <w:txbxContent>
                  <w:p w14:paraId="69DE1898" w14:textId="4F851CCB" w:rsidR="003F4354" w:rsidRPr="00C3200F" w:rsidRDefault="00375F10" w:rsidP="003F435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003F4354"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0FEB2DBF" w14:textId="77777777" w:rsidR="00FF2F0B" w:rsidRPr="00C3200F" w:rsidRDefault="00FF2F0B" w:rsidP="00FF2F0B">
                    <w:pPr>
                      <w:pStyle w:val="EinfAbs"/>
                      <w:tabs>
                        <w:tab w:val="left" w:pos="454"/>
                      </w:tabs>
                      <w:spacing w:line="276" w:lineRule="auto"/>
                      <w:rPr>
                        <w:rFonts w:ascii="Arial" w:hAnsi="Arial" w:cs="Arial"/>
                        <w:color w:val="4C4C4C"/>
                        <w:position w:val="2"/>
                        <w:sz w:val="16"/>
                        <w:szCs w:val="16"/>
                        <w:lang w:val="en-US"/>
                      </w:rPr>
                    </w:pPr>
                    <w:r>
                      <w:rPr>
                        <w:rFonts w:ascii="Arial" w:hAnsi="Arial" w:cs="Arial"/>
                        <w:color w:val="4C4C4C"/>
                        <w:position w:val="2"/>
                        <w:sz w:val="16"/>
                        <w:szCs w:val="16"/>
                        <w:lang w:val="en-US"/>
                      </w:rPr>
                      <w:t>Eva Manzenreiter</w:t>
                    </w:r>
                  </w:p>
                  <w:p w14:paraId="42B71DD4" w14:textId="5C77CC0A" w:rsidR="003F4354" w:rsidRPr="00C3200F" w:rsidRDefault="001E6939" w:rsidP="001E6939">
                    <w:pPr>
                      <w:pStyle w:val="EinfAbs"/>
                      <w:tabs>
                        <w:tab w:val="left" w:pos="454"/>
                      </w:tabs>
                      <w:spacing w:line="276" w:lineRule="auto"/>
                      <w:rPr>
                        <w:rFonts w:ascii="Arial" w:hAnsi="Arial" w:cs="Arial"/>
                        <w:color w:val="4C4C4C"/>
                        <w:position w:val="2"/>
                        <w:sz w:val="16"/>
                        <w:szCs w:val="16"/>
                        <w:lang w:val="en-US"/>
                      </w:rPr>
                    </w:pPr>
                    <w:r w:rsidRPr="001E6939">
                      <w:rPr>
                        <w:rFonts w:ascii="Arial" w:hAnsi="Arial" w:cs="Arial"/>
                        <w:color w:val="4C4C4C"/>
                        <w:position w:val="2"/>
                        <w:sz w:val="16"/>
                        <w:szCs w:val="16"/>
                        <w:lang w:val="en-US"/>
                      </w:rPr>
                      <w:t>DMG MORI EMEA Holding GmbH</w:t>
                    </w:r>
                  </w:p>
                </w:txbxContent>
              </v:textbox>
              <w10:wrap anchorx="margin"/>
            </v:shape>
          </w:pict>
        </mc:Fallback>
      </mc:AlternateContent>
    </w:r>
    <w:bookmarkEnd w:id="1"/>
    <w:bookmarkEnd w:id="2"/>
  </w:p>
  <w:p w14:paraId="1626E5BD" w14:textId="6757816C" w:rsidR="003F4354" w:rsidRDefault="003F4354">
    <w:pPr>
      <w:pStyle w:val="Kopfzeile"/>
    </w:pPr>
    <w:r>
      <w:rPr>
        <w:noProof/>
        <w:lang w:eastAsia="de-DE"/>
      </w:rPr>
      <mc:AlternateContent>
        <mc:Choice Requires="wps">
          <w:drawing>
            <wp:anchor distT="0" distB="0" distL="114300" distR="114300" simplePos="0" relativeHeight="251658242" behindDoc="0" locked="0" layoutInCell="1" allowOverlap="1" wp14:anchorId="3C7F2EC7" wp14:editId="1A20BE66">
              <wp:simplePos x="0" y="0"/>
              <wp:positionH relativeFrom="margin">
                <wp:posOffset>0</wp:posOffset>
              </wp:positionH>
              <wp:positionV relativeFrom="paragraph">
                <wp:posOffset>545036</wp:posOffset>
              </wp:positionV>
              <wp:extent cx="6083935" cy="0"/>
              <wp:effectExtent l="0" t="0" r="0" b="0"/>
              <wp:wrapNone/>
              <wp:docPr id="117715773" name="Straight Connector 117715773">
                <a:extLst xmlns:a="http://schemas.openxmlformats.org/drawingml/2006/main">
                  <a:ext uri="{FF2B5EF4-FFF2-40B4-BE49-F238E27FC236}">
                    <a16:creationId xmlns:a16="http://schemas.microsoft.com/office/drawing/2014/main" id="{96F3F99D-E404-48EE-A7DF-E14DEFD6D558}"/>
                  </a:ext>
                </a:extLst>
              </wp:docPr>
              <wp:cNvGraphicFramePr/>
              <a:graphic xmlns:a="http://schemas.openxmlformats.org/drawingml/2006/main">
                <a:graphicData uri="http://schemas.microsoft.com/office/word/2010/wordprocessingShape">
                  <wps:wsp>
                    <wps:cNvCnPr/>
                    <wps:spPr>
                      <a:xfrm flipV="1">
                        <a:off x="0" y="0"/>
                        <a:ext cx="60839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16="http://schemas.microsoft.com/office/drawing/2014/main" xmlns:a="http://schemas.openxmlformats.org/drawingml/2006/main">
          <w:pict w14:anchorId="3A558A0E">
            <v:line id="Straight Connector 117715773" style="position:absolute;flip:y;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strokecolor="black [3213]" strokeweight=".5pt" from="0,42.9pt" to="479.05pt,42.9pt" w14:anchorId="703F1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">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02FA6"/>
    <w:multiLevelType w:val="hybridMultilevel"/>
    <w:tmpl w:val="61E4C6E2"/>
    <w:lvl w:ilvl="0" w:tplc="6950882C">
      <w:numFmt w:val="bullet"/>
      <w:pStyle w:val="02Aufzhlung"/>
      <w:lvlText w:val="•"/>
      <w:lvlJc w:val="left"/>
      <w:pPr>
        <w:ind w:left="510" w:hanging="510"/>
      </w:pPr>
      <w:rPr>
        <w:rFonts w:ascii="CompatilFactLTPro-Rg" w:eastAsiaTheme="minorHAnsi" w:hAnsi="CompatilFactLTPro-Rg" w:cs="Compatil Fact LT Pro" w:hint="default"/>
      </w:rPr>
    </w:lvl>
    <w:lvl w:ilvl="1" w:tplc="04070003" w:tentative="1">
      <w:start w:val="1"/>
      <w:numFmt w:val="bullet"/>
      <w:lvlText w:val="o"/>
      <w:lvlJc w:val="left"/>
      <w:pPr>
        <w:ind w:left="1440" w:hanging="360"/>
      </w:pPr>
      <w:rPr>
        <w:rFonts w:ascii="Courier New" w:hAnsi="Courier New" w:cs="Compatil Fact LT Pro"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mpatil Fact LT Pro"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mpatil Fact LT Pro" w:hint="default"/>
      </w:rPr>
    </w:lvl>
    <w:lvl w:ilvl="8" w:tplc="04070005" w:tentative="1">
      <w:start w:val="1"/>
      <w:numFmt w:val="bullet"/>
      <w:lvlText w:val=""/>
      <w:lvlJc w:val="left"/>
      <w:pPr>
        <w:ind w:left="6480" w:hanging="360"/>
      </w:pPr>
      <w:rPr>
        <w:rFonts w:ascii="Wingdings" w:hAnsi="Wingdings" w:hint="default"/>
      </w:rPr>
    </w:lvl>
  </w:abstractNum>
  <w:num w:numId="1" w16cid:durableId="17339644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354"/>
    <w:rsid w:val="00003DD5"/>
    <w:rsid w:val="000210C8"/>
    <w:rsid w:val="00021D5B"/>
    <w:rsid w:val="00024062"/>
    <w:rsid w:val="00025AF3"/>
    <w:rsid w:val="00040140"/>
    <w:rsid w:val="00042E0B"/>
    <w:rsid w:val="00063324"/>
    <w:rsid w:val="00063A0C"/>
    <w:rsid w:val="000713EB"/>
    <w:rsid w:val="00082305"/>
    <w:rsid w:val="00094C5A"/>
    <w:rsid w:val="000A43E9"/>
    <w:rsid w:val="000D0627"/>
    <w:rsid w:val="000D5FA9"/>
    <w:rsid w:val="001054D5"/>
    <w:rsid w:val="0014561E"/>
    <w:rsid w:val="001617AF"/>
    <w:rsid w:val="00162A70"/>
    <w:rsid w:val="00170DC9"/>
    <w:rsid w:val="001906A8"/>
    <w:rsid w:val="001A7D9F"/>
    <w:rsid w:val="001B18B1"/>
    <w:rsid w:val="001B2362"/>
    <w:rsid w:val="001B29BD"/>
    <w:rsid w:val="001B4F34"/>
    <w:rsid w:val="001C6696"/>
    <w:rsid w:val="001D23DA"/>
    <w:rsid w:val="001D6377"/>
    <w:rsid w:val="001E0EB3"/>
    <w:rsid w:val="001E3D20"/>
    <w:rsid w:val="001E6939"/>
    <w:rsid w:val="001F07C2"/>
    <w:rsid w:val="001F1DC6"/>
    <w:rsid w:val="00200856"/>
    <w:rsid w:val="002013D9"/>
    <w:rsid w:val="002017F2"/>
    <w:rsid w:val="002073B5"/>
    <w:rsid w:val="00220EAF"/>
    <w:rsid w:val="002317FA"/>
    <w:rsid w:val="00235BAF"/>
    <w:rsid w:val="002364D2"/>
    <w:rsid w:val="0024585D"/>
    <w:rsid w:val="00247278"/>
    <w:rsid w:val="002B2BF8"/>
    <w:rsid w:val="002B6B1C"/>
    <w:rsid w:val="002C0E13"/>
    <w:rsid w:val="002C2245"/>
    <w:rsid w:val="002D2EB6"/>
    <w:rsid w:val="002D3D11"/>
    <w:rsid w:val="002E3470"/>
    <w:rsid w:val="002E3B6B"/>
    <w:rsid w:val="00301CCD"/>
    <w:rsid w:val="0030578C"/>
    <w:rsid w:val="00310080"/>
    <w:rsid w:val="0031088C"/>
    <w:rsid w:val="0031546B"/>
    <w:rsid w:val="00322508"/>
    <w:rsid w:val="00327061"/>
    <w:rsid w:val="00336CCA"/>
    <w:rsid w:val="0033711E"/>
    <w:rsid w:val="00346715"/>
    <w:rsid w:val="00360D95"/>
    <w:rsid w:val="003638F1"/>
    <w:rsid w:val="00367B1F"/>
    <w:rsid w:val="00371ED5"/>
    <w:rsid w:val="00375F10"/>
    <w:rsid w:val="003830D5"/>
    <w:rsid w:val="003867D1"/>
    <w:rsid w:val="003947A4"/>
    <w:rsid w:val="003A5643"/>
    <w:rsid w:val="003A6576"/>
    <w:rsid w:val="003B4743"/>
    <w:rsid w:val="003C2029"/>
    <w:rsid w:val="003C5D7E"/>
    <w:rsid w:val="003D0E8C"/>
    <w:rsid w:val="003E2891"/>
    <w:rsid w:val="003E5140"/>
    <w:rsid w:val="003F4354"/>
    <w:rsid w:val="003F4B16"/>
    <w:rsid w:val="003F5EDC"/>
    <w:rsid w:val="004038AB"/>
    <w:rsid w:val="004041CE"/>
    <w:rsid w:val="004042D5"/>
    <w:rsid w:val="00412FF0"/>
    <w:rsid w:val="0042093A"/>
    <w:rsid w:val="00421A8C"/>
    <w:rsid w:val="00427FA1"/>
    <w:rsid w:val="00432287"/>
    <w:rsid w:val="004551BC"/>
    <w:rsid w:val="004571A5"/>
    <w:rsid w:val="00467565"/>
    <w:rsid w:val="00483F4D"/>
    <w:rsid w:val="004B12D8"/>
    <w:rsid w:val="004B58EE"/>
    <w:rsid w:val="004B59CF"/>
    <w:rsid w:val="004C059C"/>
    <w:rsid w:val="004C506F"/>
    <w:rsid w:val="004C70A3"/>
    <w:rsid w:val="004C74B0"/>
    <w:rsid w:val="004D103B"/>
    <w:rsid w:val="004D575D"/>
    <w:rsid w:val="004E26A3"/>
    <w:rsid w:val="004F4CDE"/>
    <w:rsid w:val="00504251"/>
    <w:rsid w:val="00524792"/>
    <w:rsid w:val="00525699"/>
    <w:rsid w:val="005327EE"/>
    <w:rsid w:val="005336D9"/>
    <w:rsid w:val="00554BA3"/>
    <w:rsid w:val="005717A9"/>
    <w:rsid w:val="00580E60"/>
    <w:rsid w:val="00584408"/>
    <w:rsid w:val="005A321A"/>
    <w:rsid w:val="005B0AA7"/>
    <w:rsid w:val="005C5D6D"/>
    <w:rsid w:val="005C5EC8"/>
    <w:rsid w:val="005E36AA"/>
    <w:rsid w:val="005E677F"/>
    <w:rsid w:val="005F3583"/>
    <w:rsid w:val="005F61B6"/>
    <w:rsid w:val="00616BDF"/>
    <w:rsid w:val="006174FC"/>
    <w:rsid w:val="00621423"/>
    <w:rsid w:val="006239E2"/>
    <w:rsid w:val="006262D2"/>
    <w:rsid w:val="006311BD"/>
    <w:rsid w:val="00636809"/>
    <w:rsid w:val="0064309A"/>
    <w:rsid w:val="00646DC2"/>
    <w:rsid w:val="00663377"/>
    <w:rsid w:val="006668E6"/>
    <w:rsid w:val="006858E7"/>
    <w:rsid w:val="00685B2E"/>
    <w:rsid w:val="00692470"/>
    <w:rsid w:val="00696626"/>
    <w:rsid w:val="006A4E61"/>
    <w:rsid w:val="006A5BE1"/>
    <w:rsid w:val="006B2831"/>
    <w:rsid w:val="006C4534"/>
    <w:rsid w:val="006C5648"/>
    <w:rsid w:val="006C75E8"/>
    <w:rsid w:val="006E3594"/>
    <w:rsid w:val="006F2B60"/>
    <w:rsid w:val="00721EE6"/>
    <w:rsid w:val="00731457"/>
    <w:rsid w:val="007406C5"/>
    <w:rsid w:val="00760125"/>
    <w:rsid w:val="00777A26"/>
    <w:rsid w:val="0078221E"/>
    <w:rsid w:val="00794D1B"/>
    <w:rsid w:val="00795CFE"/>
    <w:rsid w:val="007D675C"/>
    <w:rsid w:val="007E277A"/>
    <w:rsid w:val="008074BB"/>
    <w:rsid w:val="0081320F"/>
    <w:rsid w:val="00824005"/>
    <w:rsid w:val="008243FD"/>
    <w:rsid w:val="00826635"/>
    <w:rsid w:val="00826F2D"/>
    <w:rsid w:val="0083568A"/>
    <w:rsid w:val="00845729"/>
    <w:rsid w:val="0086201F"/>
    <w:rsid w:val="00864A85"/>
    <w:rsid w:val="00865F77"/>
    <w:rsid w:val="0087691E"/>
    <w:rsid w:val="0088418C"/>
    <w:rsid w:val="008906A3"/>
    <w:rsid w:val="008A7771"/>
    <w:rsid w:val="008C5316"/>
    <w:rsid w:val="008C7211"/>
    <w:rsid w:val="008D2E5F"/>
    <w:rsid w:val="008E2950"/>
    <w:rsid w:val="008E42C3"/>
    <w:rsid w:val="008E6E09"/>
    <w:rsid w:val="009001F5"/>
    <w:rsid w:val="009077CE"/>
    <w:rsid w:val="00911917"/>
    <w:rsid w:val="00911B6D"/>
    <w:rsid w:val="00923756"/>
    <w:rsid w:val="00925B8A"/>
    <w:rsid w:val="00945263"/>
    <w:rsid w:val="00950763"/>
    <w:rsid w:val="009570FB"/>
    <w:rsid w:val="00993C2E"/>
    <w:rsid w:val="009A0B32"/>
    <w:rsid w:val="009A483F"/>
    <w:rsid w:val="009A7E7D"/>
    <w:rsid w:val="009B519A"/>
    <w:rsid w:val="009C7774"/>
    <w:rsid w:val="009D0F3E"/>
    <w:rsid w:val="009D559F"/>
    <w:rsid w:val="009E76C9"/>
    <w:rsid w:val="009E7CB8"/>
    <w:rsid w:val="009F077A"/>
    <w:rsid w:val="009F18D5"/>
    <w:rsid w:val="00A04467"/>
    <w:rsid w:val="00A062D0"/>
    <w:rsid w:val="00A0744F"/>
    <w:rsid w:val="00A12134"/>
    <w:rsid w:val="00A35048"/>
    <w:rsid w:val="00A62290"/>
    <w:rsid w:val="00A738E1"/>
    <w:rsid w:val="00A808E6"/>
    <w:rsid w:val="00A842C8"/>
    <w:rsid w:val="00AA1152"/>
    <w:rsid w:val="00AA24C5"/>
    <w:rsid w:val="00AA3C3C"/>
    <w:rsid w:val="00AA605D"/>
    <w:rsid w:val="00AC23D7"/>
    <w:rsid w:val="00AC2444"/>
    <w:rsid w:val="00AD2C25"/>
    <w:rsid w:val="00AE612D"/>
    <w:rsid w:val="00B05352"/>
    <w:rsid w:val="00B137F4"/>
    <w:rsid w:val="00B23CDC"/>
    <w:rsid w:val="00B3563B"/>
    <w:rsid w:val="00B369CC"/>
    <w:rsid w:val="00B36EE4"/>
    <w:rsid w:val="00B37B9A"/>
    <w:rsid w:val="00B42FEE"/>
    <w:rsid w:val="00B45522"/>
    <w:rsid w:val="00B53A3D"/>
    <w:rsid w:val="00B6246B"/>
    <w:rsid w:val="00B75541"/>
    <w:rsid w:val="00B952F8"/>
    <w:rsid w:val="00B96704"/>
    <w:rsid w:val="00BB04FB"/>
    <w:rsid w:val="00BB6AB2"/>
    <w:rsid w:val="00BC0F11"/>
    <w:rsid w:val="00BC4B8D"/>
    <w:rsid w:val="00BC6581"/>
    <w:rsid w:val="00BD0B54"/>
    <w:rsid w:val="00BD1732"/>
    <w:rsid w:val="00BD488D"/>
    <w:rsid w:val="00BD6423"/>
    <w:rsid w:val="00BE7712"/>
    <w:rsid w:val="00BF412D"/>
    <w:rsid w:val="00C13219"/>
    <w:rsid w:val="00C273D8"/>
    <w:rsid w:val="00C3200F"/>
    <w:rsid w:val="00C376BF"/>
    <w:rsid w:val="00C4044C"/>
    <w:rsid w:val="00C4358E"/>
    <w:rsid w:val="00C507CF"/>
    <w:rsid w:val="00C771C2"/>
    <w:rsid w:val="00CA0111"/>
    <w:rsid w:val="00CB0051"/>
    <w:rsid w:val="00CB3F4E"/>
    <w:rsid w:val="00CB4C1C"/>
    <w:rsid w:val="00CB5B9A"/>
    <w:rsid w:val="00CC18B9"/>
    <w:rsid w:val="00CE6E9A"/>
    <w:rsid w:val="00CE739B"/>
    <w:rsid w:val="00CF52C9"/>
    <w:rsid w:val="00D13525"/>
    <w:rsid w:val="00D16480"/>
    <w:rsid w:val="00D165A0"/>
    <w:rsid w:val="00D22C5D"/>
    <w:rsid w:val="00D24C79"/>
    <w:rsid w:val="00D3653C"/>
    <w:rsid w:val="00D403D7"/>
    <w:rsid w:val="00D478B5"/>
    <w:rsid w:val="00D53EF3"/>
    <w:rsid w:val="00D54C0E"/>
    <w:rsid w:val="00D630BE"/>
    <w:rsid w:val="00D67734"/>
    <w:rsid w:val="00D714E9"/>
    <w:rsid w:val="00D75E18"/>
    <w:rsid w:val="00D75E51"/>
    <w:rsid w:val="00D77525"/>
    <w:rsid w:val="00D77873"/>
    <w:rsid w:val="00D85966"/>
    <w:rsid w:val="00D91437"/>
    <w:rsid w:val="00D95351"/>
    <w:rsid w:val="00DA6B17"/>
    <w:rsid w:val="00DA7D8A"/>
    <w:rsid w:val="00DB35BF"/>
    <w:rsid w:val="00DB651A"/>
    <w:rsid w:val="00DB7DDE"/>
    <w:rsid w:val="00DC3E12"/>
    <w:rsid w:val="00DC4C6E"/>
    <w:rsid w:val="00DD738A"/>
    <w:rsid w:val="00DE3E97"/>
    <w:rsid w:val="00DE728D"/>
    <w:rsid w:val="00DE742E"/>
    <w:rsid w:val="00DE7D1E"/>
    <w:rsid w:val="00DF6047"/>
    <w:rsid w:val="00E008B1"/>
    <w:rsid w:val="00E22FB8"/>
    <w:rsid w:val="00E2470A"/>
    <w:rsid w:val="00E35991"/>
    <w:rsid w:val="00E41E52"/>
    <w:rsid w:val="00E45B28"/>
    <w:rsid w:val="00E47C34"/>
    <w:rsid w:val="00E53789"/>
    <w:rsid w:val="00E6618A"/>
    <w:rsid w:val="00E84E6B"/>
    <w:rsid w:val="00E93965"/>
    <w:rsid w:val="00EC03A8"/>
    <w:rsid w:val="00EC0C60"/>
    <w:rsid w:val="00EC124D"/>
    <w:rsid w:val="00EC50BB"/>
    <w:rsid w:val="00ED0252"/>
    <w:rsid w:val="00ED5EFA"/>
    <w:rsid w:val="00EE5322"/>
    <w:rsid w:val="00EE5544"/>
    <w:rsid w:val="00EF0DA0"/>
    <w:rsid w:val="00EF16A4"/>
    <w:rsid w:val="00EF1748"/>
    <w:rsid w:val="00F15278"/>
    <w:rsid w:val="00F17804"/>
    <w:rsid w:val="00F249EC"/>
    <w:rsid w:val="00F3762D"/>
    <w:rsid w:val="00F41DA8"/>
    <w:rsid w:val="00F44270"/>
    <w:rsid w:val="00F502E6"/>
    <w:rsid w:val="00F57280"/>
    <w:rsid w:val="00F87595"/>
    <w:rsid w:val="00F93D88"/>
    <w:rsid w:val="00FA7821"/>
    <w:rsid w:val="00FB7EB9"/>
    <w:rsid w:val="00FC079F"/>
    <w:rsid w:val="00FC56F3"/>
    <w:rsid w:val="00FD4092"/>
    <w:rsid w:val="00FD4D28"/>
    <w:rsid w:val="00FD59B6"/>
    <w:rsid w:val="00FD7194"/>
    <w:rsid w:val="00FE0E83"/>
    <w:rsid w:val="00FE1A90"/>
    <w:rsid w:val="00FE2DFA"/>
    <w:rsid w:val="00FE4602"/>
    <w:rsid w:val="00FE4C67"/>
    <w:rsid w:val="00FF053D"/>
    <w:rsid w:val="00FF0B40"/>
    <w:rsid w:val="00FF2F0B"/>
    <w:rsid w:val="00FF5C18"/>
    <w:rsid w:val="0A3EF6F4"/>
    <w:rsid w:val="0AA560AE"/>
    <w:rsid w:val="1FA6545F"/>
    <w:rsid w:val="2146DF29"/>
    <w:rsid w:val="227FED94"/>
    <w:rsid w:val="32B71FBD"/>
    <w:rsid w:val="3840D1A4"/>
    <w:rsid w:val="3B21D09F"/>
    <w:rsid w:val="3B6800D6"/>
    <w:rsid w:val="49926935"/>
    <w:rsid w:val="54F43449"/>
    <w:rsid w:val="64341106"/>
    <w:rsid w:val="6F32C934"/>
    <w:rsid w:val="731DE026"/>
    <w:rsid w:val="7CDBC82C"/>
    <w:rsid w:val="7D9E8E1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EFFFD7"/>
  <w15:chartTrackingRefBased/>
  <w15:docId w15:val="{33F5BC39-5A26-4945-8FCE-084127B16A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F43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F43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F435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F435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F435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F435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F435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F435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F435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F435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F435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F435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F435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F435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F435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F435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F435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F4354"/>
    <w:rPr>
      <w:rFonts w:eastAsiaTheme="majorEastAsia" w:cstheme="majorBidi"/>
      <w:color w:val="272727" w:themeColor="text1" w:themeTint="D8"/>
    </w:rPr>
  </w:style>
  <w:style w:type="paragraph" w:styleId="Titel">
    <w:name w:val="Title"/>
    <w:basedOn w:val="Standard"/>
    <w:next w:val="Standard"/>
    <w:link w:val="TitelZchn"/>
    <w:uiPriority w:val="10"/>
    <w:qFormat/>
    <w:rsid w:val="003F43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F435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F435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F435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F435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3F4354"/>
    <w:rPr>
      <w:i/>
      <w:iCs/>
      <w:color w:val="404040" w:themeColor="text1" w:themeTint="BF"/>
    </w:rPr>
  </w:style>
  <w:style w:type="paragraph" w:styleId="Listenabsatz">
    <w:name w:val="List Paragraph"/>
    <w:basedOn w:val="Standard"/>
    <w:uiPriority w:val="34"/>
    <w:qFormat/>
    <w:rsid w:val="003F4354"/>
    <w:pPr>
      <w:ind w:left="720"/>
      <w:contextualSpacing/>
    </w:pPr>
  </w:style>
  <w:style w:type="character" w:styleId="IntensiveHervorhebung">
    <w:name w:val="Intense Emphasis"/>
    <w:basedOn w:val="Absatz-Standardschriftart"/>
    <w:uiPriority w:val="21"/>
    <w:qFormat/>
    <w:rsid w:val="003F4354"/>
    <w:rPr>
      <w:i/>
      <w:iCs/>
      <w:color w:val="0F4761" w:themeColor="accent1" w:themeShade="BF"/>
    </w:rPr>
  </w:style>
  <w:style w:type="paragraph" w:styleId="IntensivesZitat">
    <w:name w:val="Intense Quote"/>
    <w:basedOn w:val="Standard"/>
    <w:next w:val="Standard"/>
    <w:link w:val="IntensivesZitatZchn"/>
    <w:uiPriority w:val="30"/>
    <w:qFormat/>
    <w:rsid w:val="003F43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F4354"/>
    <w:rPr>
      <w:i/>
      <w:iCs/>
      <w:color w:val="0F4761" w:themeColor="accent1" w:themeShade="BF"/>
    </w:rPr>
  </w:style>
  <w:style w:type="character" w:styleId="IntensiverVerweis">
    <w:name w:val="Intense Reference"/>
    <w:basedOn w:val="Absatz-Standardschriftart"/>
    <w:uiPriority w:val="32"/>
    <w:qFormat/>
    <w:rsid w:val="003F4354"/>
    <w:rPr>
      <w:b/>
      <w:bCs/>
      <w:smallCaps/>
      <w:color w:val="0F4761" w:themeColor="accent1" w:themeShade="BF"/>
      <w:spacing w:val="5"/>
    </w:rPr>
  </w:style>
  <w:style w:type="paragraph" w:styleId="Kopfzeile">
    <w:name w:val="header"/>
    <w:basedOn w:val="Standard"/>
    <w:link w:val="KopfzeileZchn"/>
    <w:uiPriority w:val="99"/>
    <w:unhideWhenUsed/>
    <w:rsid w:val="003F4354"/>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3F4354"/>
  </w:style>
  <w:style w:type="paragraph" w:styleId="Fuzeile">
    <w:name w:val="footer"/>
    <w:basedOn w:val="Standard"/>
    <w:link w:val="FuzeileZchn"/>
    <w:uiPriority w:val="99"/>
    <w:unhideWhenUsed/>
    <w:rsid w:val="003F4354"/>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3F4354"/>
  </w:style>
  <w:style w:type="paragraph" w:customStyle="1" w:styleId="EinfAbs">
    <w:name w:val="[Einf. Abs.]"/>
    <w:basedOn w:val="Standard"/>
    <w:uiPriority w:val="99"/>
    <w:rsid w:val="003F4354"/>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de-DE"/>
      <w14:ligatures w14:val="none"/>
    </w:rPr>
  </w:style>
  <w:style w:type="character" w:styleId="Hyperlink">
    <w:name w:val="Hyperlink"/>
    <w:basedOn w:val="Absatz-Standardschriftart"/>
    <w:uiPriority w:val="99"/>
    <w:unhideWhenUsed/>
    <w:rsid w:val="003F4354"/>
    <w:rPr>
      <w:color w:val="467886" w:themeColor="hyperlink"/>
      <w:u w:val="single"/>
    </w:rPr>
  </w:style>
  <w:style w:type="paragraph" w:customStyle="1" w:styleId="02Aufzhlung">
    <w:name w:val="02_Aufzählung"/>
    <w:basedOn w:val="Standard"/>
    <w:qFormat/>
    <w:rsid w:val="001906A8"/>
    <w:pPr>
      <w:widowControl w:val="0"/>
      <w:numPr>
        <w:numId w:val="1"/>
      </w:numPr>
      <w:tabs>
        <w:tab w:val="left" w:pos="340"/>
      </w:tabs>
      <w:autoSpaceDE w:val="0"/>
      <w:autoSpaceDN w:val="0"/>
      <w:adjustRightInd w:val="0"/>
      <w:spacing w:after="0" w:line="288" w:lineRule="auto"/>
      <w:textAlignment w:val="center"/>
    </w:pPr>
    <w:rPr>
      <w:rFonts w:ascii="CompatilFactLTPro-Rg" w:hAnsi="CompatilFactLTPro-Rg" w:cs="CompatilFactLTPro-Rg"/>
      <w:color w:val="000000"/>
      <w:lang w:val="de-DE"/>
      <w14:ligatures w14:val="none"/>
    </w:rPr>
  </w:style>
  <w:style w:type="paragraph" w:styleId="berarbeitung">
    <w:name w:val="Revision"/>
    <w:hidden/>
    <w:uiPriority w:val="99"/>
    <w:semiHidden/>
    <w:rsid w:val="00CA0111"/>
    <w:pPr>
      <w:spacing w:after="0" w:line="240" w:lineRule="auto"/>
    </w:p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9077CE"/>
    <w:rPr>
      <w:b/>
      <w:bCs/>
    </w:rPr>
  </w:style>
  <w:style w:type="character" w:customStyle="1" w:styleId="KommentarthemaZchn">
    <w:name w:val="Kommentarthema Zchn"/>
    <w:basedOn w:val="KommentartextZchn"/>
    <w:link w:val="Kommentarthema"/>
    <w:uiPriority w:val="99"/>
    <w:semiHidden/>
    <w:rsid w:val="009077CE"/>
    <w:rPr>
      <w:b/>
      <w:bCs/>
      <w:sz w:val="20"/>
      <w:szCs w:val="20"/>
    </w:rPr>
  </w:style>
  <w:style w:type="character" w:styleId="Erwhnung">
    <w:name w:val="Mention"/>
    <w:basedOn w:val="Absatz-Standardschriftart"/>
    <w:uiPriority w:val="99"/>
    <w:unhideWhenUsed/>
    <w:rsid w:val="009F077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3" Type="http://schemas.openxmlformats.org/officeDocument/2006/relationships/hyperlink" Target="http://www.dmgmori.com" TargetMode="External"/><Relationship Id="rId2" Type="http://schemas.openxmlformats.org/officeDocument/2006/relationships/image" Target="media/image8.jpg"/><Relationship Id="rId1" Type="http://schemas.openxmlformats.org/officeDocument/2006/relationships/image" Target="media/image7.png"/><Relationship Id="rId4" Type="http://schemas.openxmlformats.org/officeDocument/2006/relationships/hyperlink" Target="http://www.dmgmori.co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055c578-7ecc-4b39-b3b7-4922d3c0f183">
      <Terms xmlns="http://schemas.microsoft.com/office/infopath/2007/PartnerControls"/>
    </lcf76f155ced4ddcb4097134ff3c332f>
    <TaxCatchAll xmlns="36c3a97b-2ee8-444e-a03c-8210fbab0b9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96CECEB90B5BDF48B84CD70361BF78E9" ma:contentTypeVersion="14" ma:contentTypeDescription="Ein neues Dokument erstellen." ma:contentTypeScope="" ma:versionID="316696dce6f9fd6677784c7cd4d8c0d8">
  <xsd:schema xmlns:xsd="http://www.w3.org/2001/XMLSchema" xmlns:xs="http://www.w3.org/2001/XMLSchema" xmlns:p="http://schemas.microsoft.com/office/2006/metadata/properties" xmlns:ns2="2055c578-7ecc-4b39-b3b7-4922d3c0f183" xmlns:ns3="36c3a97b-2ee8-444e-a03c-8210fbab0b97" targetNamespace="http://schemas.microsoft.com/office/2006/metadata/properties" ma:root="true" ma:fieldsID="daa3155da6a38e5c7dafa00296747096" ns2:_="" ns3:_="">
    <xsd:import namespace="2055c578-7ecc-4b39-b3b7-4922d3c0f183"/>
    <xsd:import namespace="36c3a97b-2ee8-444e-a03c-8210fbab0b9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55c578-7ecc-4b39-b3b7-4922d3c0f1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ca45992-3557-4387-8b2e-87f0e8cb7b9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c3a97b-2ee8-444e-a03c-8210fbab0b9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eab4b38-59fc-44ef-9396-9c7a4d825414}" ma:internalName="TaxCatchAll" ma:showField="CatchAllData" ma:web="36c3a97b-2ee8-444e-a03c-8210fbab0b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BE17C0D-2EE7-45E4-9734-FC295EA50B5A}">
  <ds:schemaRefs>
    <ds:schemaRef ds:uri="http://schemas.microsoft.com/office/2006/metadata/properties"/>
    <ds:schemaRef ds:uri="http://schemas.microsoft.com/office/infopath/2007/PartnerControls"/>
    <ds:schemaRef ds:uri="2055c578-7ecc-4b39-b3b7-4922d3c0f183"/>
    <ds:schemaRef ds:uri="36c3a97b-2ee8-444e-a03c-8210fbab0b97"/>
  </ds:schemaRefs>
</ds:datastoreItem>
</file>

<file path=customXml/itemProps2.xml><?xml version="1.0" encoding="utf-8"?>
<ds:datastoreItem xmlns:ds="http://schemas.openxmlformats.org/officeDocument/2006/customXml" ds:itemID="{9E7A369F-ABDA-4769-AA77-15BC6769F5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55c578-7ecc-4b39-b3b7-4922d3c0f183"/>
    <ds:schemaRef ds:uri="36c3a97b-2ee8-444e-a03c-8210fbab0b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878A20-130E-435D-B1F3-42F80C37AB78}">
  <ds:schemaRefs>
    <ds:schemaRef ds:uri="http://schemas.microsoft.com/sharepoint/v3/contenttype/forms"/>
  </ds:schemaRefs>
</ds:datastoreItem>
</file>

<file path=docMetadata/LabelInfo.xml><?xml version="1.0" encoding="utf-8"?>
<clbl:labelList xmlns:clbl="http://schemas.microsoft.com/office/2020/mipLabelMetadata">
  <clbl:label id="{02036d9e-e633-44bb-9d07-77f03d3bf44c}" enabled="0" method="" siteId="{02036d9e-e633-44bb-9d07-77f03d3bf44c}"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7</Pages>
  <Words>1333</Words>
  <Characters>9365</Characters>
  <Application>Microsoft Office Word</Application>
  <DocSecurity>0</DocSecurity>
  <Lines>158</Lines>
  <Paragraphs>31</Paragraphs>
  <ScaleCrop>false</ScaleCrop>
  <Company/>
  <LinksUpToDate>false</LinksUpToDate>
  <CharactersWithSpaces>10667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Manzenreiter, Eva</dc:creator>
  <cp:keywords/>
  <dc:description/>
  <cp:lastModifiedBy>Manzenreiter, Eva</cp:lastModifiedBy>
  <cp:revision>23</cp:revision>
  <cp:lastPrinted>2026-07-02T12:35:00Z</cp:lastPrinted>
  <dcterms:created xsi:type="dcterms:W3CDTF">2026-06-30T12:39:00Z</dcterms:created>
  <dcterms:modified xsi:type="dcterms:W3CDTF">2026-07-02T12:35:00Z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0x01010096CECEB90B5BDF48B84CD70361BF78E9</vt:lpwstr>
  </property>
  <property fmtid="{D5CDD505-2E9C-101B-9397-08002B2CF9AE}" pid="3" name="MediaServiceImageTags">
    <vt:lpwstr/>
  </property>
  <property fmtid="{D5CDD505-2E9C-101B-9397-08002B2CF9AE}" pid="4" name="_ExtendedDescription">
    <vt:lpwstr/>
  </property>
  <property fmtid="{D5CDD505-2E9C-101B-9397-08002B2CF9AE}" pid="5" name="docLang">
    <vt:lpwstr>de</vt:lpwstr>
  </property>
</Properties>
</file>